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0E7414">
              <w:rPr>
                <w:b/>
                <w:sz w:val="28"/>
                <w:szCs w:val="28"/>
              </w:rPr>
              <w:t>:</w:t>
            </w:r>
            <w:r w:rsidR="000E7414" w:rsidRPr="000E7414">
              <w:rPr>
                <w:b/>
                <w:sz w:val="28"/>
                <w:szCs w:val="28"/>
              </w:rPr>
              <w:t xml:space="preserve"> </w:t>
            </w:r>
            <w:r w:rsidR="000E7414" w:rsidRPr="000E7414">
              <w:rPr>
                <w:rFonts w:ascii="Calibri" w:hAnsi="Calibri"/>
                <w:b/>
                <w:sz w:val="28"/>
                <w:szCs w:val="28"/>
              </w:rPr>
              <w:t xml:space="preserve">Franck-Hertz-Versuch mit </w:t>
            </w:r>
            <w:proofErr w:type="spellStart"/>
            <w:r w:rsidR="000E7414" w:rsidRPr="000E7414">
              <w:rPr>
                <w:rFonts w:ascii="Calibri" w:hAnsi="Calibri"/>
                <w:b/>
                <w:sz w:val="28"/>
                <w:szCs w:val="28"/>
              </w:rPr>
              <w:t>Hg</w:t>
            </w:r>
            <w:proofErr w:type="spellEnd"/>
            <w:r w:rsidR="000E7414" w:rsidRPr="000E7414">
              <w:rPr>
                <w:rFonts w:ascii="Calibri" w:hAnsi="Calibri"/>
                <w:b/>
                <w:sz w:val="28"/>
                <w:szCs w:val="28"/>
              </w:rPr>
              <w:t>-Röhre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0E7414">
              <w:rPr>
                <w:b/>
                <w:sz w:val="28"/>
                <w:szCs w:val="28"/>
              </w:rPr>
              <w:t xml:space="preserve"> 12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5D05E7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741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F7335A" w:rsidRDefault="00AB509D" w:rsidP="00F7335A">
      <w:pPr>
        <w:spacing w:after="0" w:line="240" w:lineRule="auto"/>
      </w:pPr>
      <w:r>
        <w:t>-</w:t>
      </w:r>
      <w:r w:rsidR="00F97927">
        <w:br/>
      </w: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306523" w:rsidRPr="00306523" w:rsidRDefault="00306523" w:rsidP="00306523">
      <w:pPr>
        <w:pStyle w:val="ABFlietext"/>
        <w:rPr>
          <w:rFonts w:asciiTheme="minorHAnsi" w:hAnsiTheme="minorHAnsi"/>
          <w:sz w:val="22"/>
          <w:szCs w:val="22"/>
        </w:rPr>
      </w:pPr>
      <w:r w:rsidRPr="00306523">
        <w:rPr>
          <w:rFonts w:asciiTheme="minorHAnsi" w:hAnsiTheme="minorHAnsi"/>
          <w:sz w:val="22"/>
          <w:szCs w:val="22"/>
        </w:rPr>
        <w:t xml:space="preserve">Das historische Franck-Hertz-Experiment kann am besten mithilfe einer </w:t>
      </w:r>
      <w:proofErr w:type="spellStart"/>
      <w:r w:rsidRPr="00306523">
        <w:rPr>
          <w:rFonts w:asciiTheme="minorHAnsi" w:hAnsiTheme="minorHAnsi"/>
          <w:sz w:val="22"/>
          <w:szCs w:val="22"/>
        </w:rPr>
        <w:t>Hg</w:t>
      </w:r>
      <w:proofErr w:type="spellEnd"/>
      <w:r w:rsidRPr="00306523">
        <w:rPr>
          <w:rFonts w:asciiTheme="minorHAnsi" w:hAnsiTheme="minorHAnsi"/>
          <w:sz w:val="22"/>
          <w:szCs w:val="22"/>
        </w:rPr>
        <w:t xml:space="preserve">-Röhre nachgestellt werden. 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5D05E7" w:rsidP="00F7335A">
      <w:pPr>
        <w:spacing w:after="0" w:line="240" w:lineRule="auto"/>
      </w:pPr>
      <w:sdt>
        <w:sdt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741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741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7414">
            <w:rPr>
              <w:rFonts w:ascii="MS Gothic" w:eastAsia="MS Gothic" w:hAnsi="MS Gothic" w:hint="eastAsia"/>
            </w:rPr>
            <w:t>☒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5D05E7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741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306523" w:rsidTr="00805F94">
        <w:tc>
          <w:tcPr>
            <w:tcW w:w="3227" w:type="dxa"/>
          </w:tcPr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>Bruch der Röhre und Freisetzung von Quecksilber</w:t>
            </w:r>
          </w:p>
        </w:tc>
        <w:tc>
          <w:tcPr>
            <w:tcW w:w="5953" w:type="dxa"/>
          </w:tcPr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>Röhre keinen mechanischen Belastungen aussetzen und auf einen stabilen Aufbau achten.</w:t>
            </w:r>
          </w:p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  <w:r w:rsidRPr="00306523">
              <w:rPr>
                <w:rFonts w:asciiTheme="minorHAnsi" w:hAnsiTheme="minorHAnsi"/>
                <w:sz w:val="22"/>
                <w:szCs w:val="22"/>
              </w:rPr>
              <w:t xml:space="preserve">Im Falle des Bruchs der Röhre: </w:t>
            </w:r>
          </w:p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>Raum gut lüften (während des Lüftens sollten sich keine Personen im Raum befinden); eine fachgerechte Entsorgung einleiten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306523" w:rsidTr="00805F94">
        <w:tc>
          <w:tcPr>
            <w:tcW w:w="3227" w:type="dxa"/>
          </w:tcPr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>Bruch des Quecksilberthermometers</w:t>
            </w:r>
          </w:p>
        </w:tc>
        <w:tc>
          <w:tcPr>
            <w:tcW w:w="5953" w:type="dxa"/>
          </w:tcPr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 xml:space="preserve">Quecksilberthermometer durch einen elektronischen Fühler </w:t>
            </w:r>
            <w:r w:rsidRPr="00306523">
              <w:rPr>
                <w:rFonts w:asciiTheme="minorHAnsi" w:hAnsiTheme="minorHAnsi"/>
                <w:sz w:val="22"/>
                <w:szCs w:val="22"/>
              </w:rPr>
              <w:br/>
              <w:t>ersetzen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306523" w:rsidTr="00805F94">
        <w:tc>
          <w:tcPr>
            <w:tcW w:w="3227" w:type="dxa"/>
          </w:tcPr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>Verbrennungsgefahr</w:t>
            </w:r>
            <w:r w:rsidRPr="00306523">
              <w:rPr>
                <w:rFonts w:asciiTheme="minorHAnsi" w:hAnsiTheme="minorHAnsi"/>
                <w:sz w:val="22"/>
                <w:szCs w:val="22"/>
              </w:rPr>
              <w:br/>
              <w:t>(heißes Gehäuse)</w:t>
            </w:r>
          </w:p>
        </w:tc>
        <w:tc>
          <w:tcPr>
            <w:tcW w:w="5953" w:type="dxa"/>
          </w:tcPr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>keramische Unterlage verwenden; bei und kurz nach Betrieb der Röhre das Gehäuse nur am Griff anfassen; das Warnschild „Vorsicht heiß“ aufstellen bzw. dafür Sorge tragen, dass keine Person das heiße Gehäuse berührt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306523" w:rsidTr="00805F94">
        <w:tc>
          <w:tcPr>
            <w:tcW w:w="3227" w:type="dxa"/>
          </w:tcPr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>Es liegt eine berührungsgefährliche Beschleunigungsspannung vor, falls diese größer als 60 V gewählt wird.</w:t>
            </w:r>
          </w:p>
        </w:tc>
        <w:tc>
          <w:tcPr>
            <w:tcW w:w="5953" w:type="dxa"/>
          </w:tcPr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>den Wert 60 V für die Beschleunigungsspannung nicht überschreiten; andernfalls Sicherheitsexperimentierkabel verwenden sowie die generellen Schutzmaßnahmen bei berührungsgefährlicher Spannung beachten</w:t>
            </w:r>
          </w:p>
        </w:tc>
      </w:tr>
      <w:tr w:rsidR="00306523" w:rsidTr="00805F94">
        <w:tc>
          <w:tcPr>
            <w:tcW w:w="3227" w:type="dxa"/>
          </w:tcPr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>UV-Strahlung</w:t>
            </w:r>
          </w:p>
        </w:tc>
        <w:tc>
          <w:tcPr>
            <w:tcW w:w="5953" w:type="dxa"/>
          </w:tcPr>
          <w:p w:rsidR="00306523" w:rsidRPr="00306523" w:rsidRDefault="00306523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306523">
              <w:rPr>
                <w:rFonts w:asciiTheme="minorHAnsi" w:hAnsiTheme="minorHAnsi"/>
                <w:sz w:val="22"/>
                <w:szCs w:val="22"/>
              </w:rPr>
              <w:t>Es liegt nur eine sehr geringe Gefährdung durch UV-Strahlung vor, da eine Glasscheibe im Gehäuse verbaut ist.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306523" w:rsidRPr="00306523" w:rsidRDefault="00306523" w:rsidP="00306523">
      <w:pPr>
        <w:pStyle w:val="ABFlietext"/>
        <w:rPr>
          <w:rFonts w:asciiTheme="minorHAnsi" w:hAnsiTheme="minorHAnsi"/>
          <w:sz w:val="22"/>
          <w:szCs w:val="22"/>
        </w:rPr>
      </w:pPr>
      <w:r w:rsidRPr="00306523">
        <w:rPr>
          <w:rFonts w:asciiTheme="minorHAnsi" w:hAnsiTheme="minorHAnsi"/>
          <w:sz w:val="22"/>
          <w:szCs w:val="22"/>
        </w:rPr>
        <w:t>Soweit eine mit Neon gefüllte Röhre zur Verfügung steht, kann diese alternativ eingesetzt werden, um die Anregung von Atomen durch Elektronenstöße e</w:t>
      </w:r>
      <w:r>
        <w:rPr>
          <w:rFonts w:asciiTheme="minorHAnsi" w:hAnsiTheme="minorHAnsi"/>
          <w:sz w:val="22"/>
          <w:szCs w:val="22"/>
        </w:rPr>
        <w:t>xperimentell zu demonstrieren.</w:t>
      </w:r>
    </w:p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5D05E7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7414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0E7414" w:rsidP="00F7335A">
      <w:pPr>
        <w:spacing w:after="0" w:line="240" w:lineRule="auto"/>
      </w:pPr>
      <w:r>
        <w:t>-</w:t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6E6" w:rsidRDefault="009226E6" w:rsidP="00C00502">
      <w:pPr>
        <w:spacing w:after="0" w:line="240" w:lineRule="auto"/>
      </w:pPr>
      <w:r>
        <w:separator/>
      </w:r>
    </w:p>
  </w:endnote>
  <w:endnote w:type="continuationSeparator" w:id="0">
    <w:p w:rsidR="009226E6" w:rsidRDefault="009226E6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6E6" w:rsidRDefault="009226E6" w:rsidP="00C00502">
      <w:pPr>
        <w:spacing w:after="0" w:line="240" w:lineRule="auto"/>
      </w:pPr>
      <w:r>
        <w:separator/>
      </w:r>
    </w:p>
  </w:footnote>
  <w:footnote w:type="continuationSeparator" w:id="0">
    <w:p w:rsidR="009226E6" w:rsidRDefault="009226E6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E7414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06523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26E6"/>
    <w:rsid w:val="00927324"/>
    <w:rsid w:val="00937736"/>
    <w:rsid w:val="00970010"/>
    <w:rsid w:val="00A113E6"/>
    <w:rsid w:val="00A2556B"/>
    <w:rsid w:val="00A675A5"/>
    <w:rsid w:val="00A93ECC"/>
    <w:rsid w:val="00AB1571"/>
    <w:rsid w:val="00AB509D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306523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306523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6</cp:revision>
  <dcterms:created xsi:type="dcterms:W3CDTF">2016-07-31T13:38:00Z</dcterms:created>
  <dcterms:modified xsi:type="dcterms:W3CDTF">2016-08-01T13:25:00Z</dcterms:modified>
</cp:coreProperties>
</file>