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8F7253" w:rsidTr="00CC73B5">
        <w:tc>
          <w:tcPr>
            <w:tcW w:w="7621" w:type="dxa"/>
            <w:vAlign w:val="center"/>
          </w:tcPr>
          <w:p w:rsidR="00D8025D" w:rsidRPr="008F7253" w:rsidRDefault="00624D7A" w:rsidP="00CC73B5">
            <w:pPr>
              <w:spacing w:after="0" w:line="240" w:lineRule="auto"/>
              <w:rPr>
                <w:b/>
                <w:sz w:val="28"/>
                <w:szCs w:val="28"/>
              </w:rPr>
            </w:pPr>
            <w:r>
              <w:rPr>
                <w:b/>
                <w:sz w:val="28"/>
                <w:szCs w:val="28"/>
              </w:rPr>
              <w:t>Versuch</w:t>
            </w:r>
            <w:r w:rsidR="00C00502" w:rsidRPr="00A17C5B">
              <w:rPr>
                <w:b/>
                <w:sz w:val="28"/>
                <w:szCs w:val="28"/>
              </w:rPr>
              <w:t>:</w:t>
            </w:r>
            <w:r w:rsidR="00A17C5B" w:rsidRPr="00A17C5B">
              <w:rPr>
                <w:b/>
                <w:sz w:val="28"/>
                <w:szCs w:val="28"/>
              </w:rPr>
              <w:t xml:space="preserve"> </w:t>
            </w:r>
            <w:r w:rsidR="00A17C5B" w:rsidRPr="00A17C5B">
              <w:rPr>
                <w:rFonts w:ascii="Calibri" w:hAnsi="Calibri"/>
                <w:b/>
                <w:sz w:val="28"/>
                <w:szCs w:val="28"/>
              </w:rPr>
              <w:t>Hallwachsexperiment</w:t>
            </w:r>
          </w:p>
        </w:tc>
        <w:tc>
          <w:tcPr>
            <w:tcW w:w="1559" w:type="dxa"/>
            <w:vAlign w:val="center"/>
          </w:tcPr>
          <w:p w:rsidR="00D8025D" w:rsidRPr="008F7253" w:rsidRDefault="00D8025D" w:rsidP="00CC73B5">
            <w:pPr>
              <w:spacing w:after="0" w:line="240" w:lineRule="auto"/>
              <w:rPr>
                <w:b/>
                <w:sz w:val="28"/>
                <w:szCs w:val="28"/>
              </w:rPr>
            </w:pPr>
            <w:proofErr w:type="spellStart"/>
            <w:r w:rsidRPr="008F7253">
              <w:rPr>
                <w:b/>
                <w:sz w:val="28"/>
                <w:szCs w:val="28"/>
              </w:rPr>
              <w:t>Jgst</w:t>
            </w:r>
            <w:proofErr w:type="spellEnd"/>
            <w:r w:rsidRPr="008F7253">
              <w:rPr>
                <w:b/>
                <w:sz w:val="28"/>
                <w:szCs w:val="28"/>
              </w:rPr>
              <w:t>.</w:t>
            </w:r>
            <w:r w:rsidR="00A17C5B">
              <w:rPr>
                <w:b/>
                <w:sz w:val="28"/>
                <w:szCs w:val="28"/>
              </w:rPr>
              <w:t xml:space="preserve"> 10</w:t>
            </w:r>
          </w:p>
        </w:tc>
      </w:tr>
    </w:tbl>
    <w:p w:rsidR="00D8025D" w:rsidRDefault="00D8025D" w:rsidP="00F7335A">
      <w:pPr>
        <w:spacing w:after="0" w:line="240" w:lineRule="auto"/>
      </w:pPr>
      <w:r>
        <w:tab/>
      </w:r>
      <w:r>
        <w:tab/>
      </w:r>
      <w:r>
        <w:tab/>
      </w:r>
    </w:p>
    <w:p w:rsidR="00F7335A" w:rsidRDefault="005265CE" w:rsidP="00F7335A">
      <w:pPr>
        <w:spacing w:after="0" w:line="240" w:lineRule="auto"/>
      </w:pPr>
      <w:sdt>
        <w:sdtPr>
          <w:id w:val="-1861416850"/>
          <w14:checkbox>
            <w14:checked w14:val="1"/>
            <w14:checkedState w14:val="2612" w14:font="MS Gothic"/>
            <w14:uncheckedState w14:val="2610" w14:font="MS Gothic"/>
          </w14:checkbox>
        </w:sdtPr>
        <w:sdtEndPr/>
        <w:sdtContent>
          <w:r w:rsidR="00A17C5B">
            <w:rPr>
              <w:rFonts w:ascii="MS Gothic" w:eastAsia="MS Gothic" w:hAnsi="MS Gothic" w:hint="eastAsia"/>
            </w:rPr>
            <w:t>☒</w:t>
          </w:r>
        </w:sdtContent>
      </w:sdt>
      <w:r w:rsidR="00F7335A">
        <w:t xml:space="preserve"> Lehrerexperiment</w:t>
      </w:r>
      <w:r w:rsidR="00F7335A">
        <w:tab/>
      </w:r>
      <w:sdt>
        <w:sdtPr>
          <w:id w:val="-1756278546"/>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12716D" w:rsidRPr="0012716D" w:rsidRDefault="0012716D" w:rsidP="0012716D">
      <w:pPr>
        <w:pStyle w:val="ABFlietext"/>
        <w:rPr>
          <w:rFonts w:asciiTheme="minorHAnsi" w:hAnsiTheme="minorHAnsi"/>
          <w:sz w:val="22"/>
          <w:szCs w:val="22"/>
        </w:rPr>
      </w:pPr>
      <w:r w:rsidRPr="0012716D">
        <w:rPr>
          <w:rFonts w:asciiTheme="minorHAnsi" w:hAnsiTheme="minorHAnsi"/>
          <w:sz w:val="22"/>
          <w:szCs w:val="22"/>
        </w:rPr>
        <w:t>Auf ein Elektroskop wird eine kurz vor dem Versuch frisch mit Sandpapier abgeriebene Zinkplatte gesteckt. Die geladene Zinkplatte wird mit dem Licht einer Hochdruck-Quecksilberdampflampe bestrahlt. Der Versuch zeigt bei neg</w:t>
      </w:r>
      <w:bookmarkStart w:id="0" w:name="_GoBack"/>
      <w:bookmarkEnd w:id="0"/>
      <w:r w:rsidRPr="0012716D">
        <w:rPr>
          <w:rFonts w:asciiTheme="minorHAnsi" w:hAnsiTheme="minorHAnsi"/>
          <w:sz w:val="22"/>
          <w:szCs w:val="22"/>
        </w:rPr>
        <w:t>ativer Aufladung des Elektroskops eine Entladung durch den Hallwachs-Effekt.</w:t>
      </w:r>
    </w:p>
    <w:p w:rsidR="0012716D" w:rsidRDefault="0012716D" w:rsidP="00F7335A">
      <w:pPr>
        <w:spacing w:after="0" w:line="240" w:lineRule="auto"/>
      </w:pPr>
    </w:p>
    <w:p w:rsidR="0012716D" w:rsidRDefault="00CB2A8C" w:rsidP="00F7335A">
      <w:pPr>
        <w:spacing w:after="0" w:line="240" w:lineRule="auto"/>
      </w:pPr>
      <w:r>
        <w:rPr>
          <w:noProof/>
        </w:rPr>
        <w:drawing>
          <wp:anchor distT="0" distB="0" distL="114300" distR="114300" simplePos="0" relativeHeight="251658240" behindDoc="0" locked="0" layoutInCell="1" allowOverlap="1" wp14:anchorId="6E5828AA" wp14:editId="471CE2DD">
            <wp:simplePos x="0" y="0"/>
            <wp:positionH relativeFrom="column">
              <wp:align>center</wp:align>
            </wp:positionH>
            <wp:positionV relativeFrom="paragraph">
              <wp:posOffset>3810</wp:posOffset>
            </wp:positionV>
            <wp:extent cx="4427855" cy="331533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llwachs 2.jpg"/>
                    <pic:cNvPicPr/>
                  </pic:nvPicPr>
                  <pic:blipFill>
                    <a:blip r:embed="rId8">
                      <a:extLst>
                        <a:ext uri="{28A0092B-C50C-407E-A947-70E740481C1C}">
                          <a14:useLocalDpi xmlns:a14="http://schemas.microsoft.com/office/drawing/2010/main" val="0"/>
                        </a:ext>
                      </a:extLst>
                    </a:blip>
                    <a:stretch>
                      <a:fillRect/>
                    </a:stretch>
                  </pic:blipFill>
                  <pic:spPr>
                    <a:xfrm>
                      <a:off x="0" y="0"/>
                      <a:ext cx="4428000" cy="3315600"/>
                    </a:xfrm>
                    <a:prstGeom prst="rect">
                      <a:avLst/>
                    </a:prstGeom>
                  </pic:spPr>
                </pic:pic>
              </a:graphicData>
            </a:graphic>
            <wp14:sizeRelH relativeFrom="page">
              <wp14:pctWidth>0</wp14:pctWidth>
            </wp14:sizeRelH>
            <wp14:sizeRelV relativeFrom="page">
              <wp14:pctHeight>0</wp14:pctHeight>
            </wp14:sizeRelV>
          </wp:anchor>
        </w:drawing>
      </w: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12716D" w:rsidRDefault="0012716D" w:rsidP="00F7335A">
      <w:pPr>
        <w:spacing w:after="0" w:line="240" w:lineRule="auto"/>
      </w:pPr>
    </w:p>
    <w:p w:rsidR="00F7335A" w:rsidRDefault="00F97927" w:rsidP="00F7335A">
      <w:pPr>
        <w:spacing w:after="0" w:line="240" w:lineRule="auto"/>
      </w:pPr>
      <w:r>
        <w:br/>
      </w:r>
      <w:r w:rsidR="00CC73B5">
        <w:br/>
      </w:r>
    </w:p>
    <w:p w:rsidR="00F7335A" w:rsidRPr="00044DC4" w:rsidRDefault="00F7335A" w:rsidP="00F7335A">
      <w:pPr>
        <w:spacing w:after="0" w:line="240" w:lineRule="auto"/>
        <w:rPr>
          <w:b/>
        </w:rPr>
      </w:pPr>
      <w:r w:rsidRPr="00044DC4">
        <w:rPr>
          <w:b/>
        </w:rPr>
        <w:t>Ersatzprüfung:</w:t>
      </w:r>
    </w:p>
    <w:p w:rsidR="00B105BE" w:rsidRPr="00B105BE" w:rsidRDefault="00B105BE" w:rsidP="00B105BE">
      <w:pPr>
        <w:tabs>
          <w:tab w:val="left" w:pos="3402"/>
        </w:tabs>
        <w:autoSpaceDE w:val="0"/>
        <w:autoSpaceDN w:val="0"/>
        <w:adjustRightInd w:val="0"/>
        <w:spacing w:after="0" w:line="240" w:lineRule="atLeast"/>
        <w:textAlignment w:val="center"/>
        <w:rPr>
          <w:rFonts w:ascii="Frutiger LT Std 45 Light" w:eastAsiaTheme="minorHAnsi" w:hAnsi="Frutiger LT Std 45 Light" w:cs="Frutiger LT Std 45 Light"/>
          <w:b/>
          <w:bCs/>
          <w:color w:val="000000"/>
          <w:sz w:val="18"/>
          <w:szCs w:val="18"/>
          <w:lang w:eastAsia="en-US"/>
        </w:rPr>
      </w:pPr>
      <w:r w:rsidRPr="00B105BE">
        <w:rPr>
          <w:rFonts w:eastAsiaTheme="minorHAnsi" w:cs="Frutiger LT Std 45 Light"/>
          <w:color w:val="000000"/>
          <w:lang w:eastAsia="en-US"/>
        </w:rPr>
        <w:t xml:space="preserve">Zur Ablösung von Photoelektronen aus der Zinkplatte ist eine Strahlung mit hoher Energiedichte im UV-Bereich erforderlich. Das Versuchsziel lässt sich daher ohne den Einsatz einer </w:t>
      </w:r>
      <w:proofErr w:type="spellStart"/>
      <w:r w:rsidRPr="00B105BE">
        <w:rPr>
          <w:rFonts w:eastAsiaTheme="minorHAnsi" w:cs="Frutiger LT Std 45 Light"/>
          <w:color w:val="000000"/>
          <w:lang w:eastAsia="en-US"/>
        </w:rPr>
        <w:t>Hg</w:t>
      </w:r>
      <w:proofErr w:type="spellEnd"/>
      <w:r w:rsidRPr="00B105BE">
        <w:rPr>
          <w:rFonts w:eastAsiaTheme="minorHAnsi" w:cs="Frutiger LT Std 45 Light"/>
          <w:color w:val="000000"/>
          <w:lang w:eastAsia="en-US"/>
        </w:rPr>
        <w:t>-Dampflampe (oder einer vergleichbaren Strahlungsquelle im UV-Bereich) nicht erreichen</w:t>
      </w:r>
      <w:r w:rsidRPr="00B105BE">
        <w:rPr>
          <w:rFonts w:ascii="Frutiger LT Std 45 Light" w:eastAsiaTheme="minorHAnsi" w:hAnsi="Frutiger LT Std 45 Light" w:cs="Frutiger LT Std 45 Light"/>
          <w:color w:val="000000"/>
          <w:sz w:val="18"/>
          <w:szCs w:val="18"/>
          <w:lang w:eastAsia="en-US"/>
        </w:rPr>
        <w:t>.</w:t>
      </w:r>
    </w:p>
    <w:p w:rsidR="00F7335A" w:rsidRDefault="00F7335A" w:rsidP="00F7335A">
      <w:pPr>
        <w:spacing w:after="0" w:line="240" w:lineRule="auto"/>
      </w:pPr>
    </w:p>
    <w:p w:rsidR="00F7335A" w:rsidRDefault="00F7335A" w:rsidP="00F7335A">
      <w:pPr>
        <w:spacing w:after="0" w:line="240" w:lineRule="auto"/>
        <w:rPr>
          <w:b/>
        </w:rPr>
      </w:pPr>
      <w:r w:rsidRPr="00F7335A">
        <w:rPr>
          <w:b/>
        </w:rPr>
        <w:t>Gefährdungsarten:</w:t>
      </w:r>
    </w:p>
    <w:p w:rsidR="00F7335A" w:rsidRPr="00F7335A" w:rsidRDefault="005265CE" w:rsidP="00F7335A">
      <w:pPr>
        <w:spacing w:after="0" w:line="240" w:lineRule="auto"/>
      </w:pPr>
      <w:sdt>
        <w:sdtPr>
          <w:id w:val="-2139549824"/>
          <w14:checkbox>
            <w14:checked w14:val="1"/>
            <w14:checkedState w14:val="2612" w14:font="MS Gothic"/>
            <w14:uncheckedState w14:val="2610" w14:font="MS Gothic"/>
          </w14:checkbox>
        </w:sdtPr>
        <w:sdtEndPr/>
        <w:sdtContent>
          <w:r w:rsidR="00A17C5B">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1"/>
            <w14:checkedState w14:val="2612" w14:font="MS Gothic"/>
            <w14:uncheckedState w14:val="2610" w14:font="MS Gothic"/>
          </w14:checkbox>
        </w:sdtPr>
        <w:sdtEndPr/>
        <w:sdtContent>
          <w:r w:rsidR="00A17C5B">
            <w:rPr>
              <w:rFonts w:ascii="MS Gothic" w:eastAsia="MS Gothic" w:hAnsi="MS Gothic" w:hint="eastAsia"/>
            </w:rPr>
            <w:t>☒</w:t>
          </w:r>
        </w:sdtContent>
      </w:sdt>
      <w:r w:rsidR="00F7335A">
        <w:t xml:space="preserve"> elektrisch </w:t>
      </w:r>
      <w:r w:rsidR="000F0165">
        <w:tab/>
      </w:r>
      <w:r w:rsidR="00F7335A">
        <w:tab/>
      </w:r>
      <w:sdt>
        <w:sdtPr>
          <w:id w:val="279838057"/>
          <w14:checkbox>
            <w14:checked w14:val="1"/>
            <w14:checkedState w14:val="2612" w14:font="MS Gothic"/>
            <w14:uncheckedState w14:val="2610" w14:font="MS Gothic"/>
          </w14:checkbox>
        </w:sdtPr>
        <w:sdtEndPr/>
        <w:sdtContent>
          <w:r w:rsidR="00A17C5B">
            <w:rPr>
              <w:rFonts w:ascii="MS Gothic" w:eastAsia="MS Gothic" w:hAnsi="MS Gothic" w:hint="eastAsia"/>
            </w:rPr>
            <w:t>☒</w:t>
          </w:r>
        </w:sdtContent>
      </w:sdt>
      <w:r w:rsidR="00F7335A">
        <w:t xml:space="preserve"> thermisch</w:t>
      </w:r>
      <w:r w:rsidR="000F0165">
        <w:tab/>
      </w:r>
      <w:r w:rsidR="00F7335A">
        <w:tab/>
      </w:r>
      <w:sdt>
        <w:sdtPr>
          <w:id w:val="599459374"/>
          <w14:checkbox>
            <w14:checked w14:val="1"/>
            <w14:checkedState w14:val="2612" w14:font="MS Gothic"/>
            <w14:uncheckedState w14:val="2610" w14:font="MS Gothic"/>
          </w14:checkbox>
        </w:sdtPr>
        <w:sdtEndPr/>
        <w:sdtContent>
          <w:r w:rsidR="00A17C5B">
            <w:rPr>
              <w:rFonts w:ascii="MS Gothic" w:eastAsia="MS Gothic" w:hAnsi="MS Gothic" w:hint="eastAsia"/>
            </w:rPr>
            <w:t>☒</w:t>
          </w:r>
        </w:sdtContent>
      </w:sdt>
      <w:r w:rsidR="000F0165">
        <w:t xml:space="preserve"> IR-, optische, </w:t>
      </w:r>
      <w:r w:rsidR="00F7335A">
        <w:t>UV-Strahlung</w:t>
      </w:r>
    </w:p>
    <w:p w:rsidR="00F7335A" w:rsidRDefault="005265CE"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1"/>
            <w14:checkedState w14:val="2612" w14:font="MS Gothic"/>
            <w14:uncheckedState w14:val="2610" w14:font="MS Gothic"/>
          </w14:checkbox>
        </w:sdtPr>
        <w:sdtEndPr/>
        <w:sdtContent>
          <w:r w:rsidR="00A17C5B">
            <w:rPr>
              <w:rFonts w:ascii="MS Gothic" w:eastAsia="MS Gothic" w:hAnsi="MS Gothic" w:hint="eastAsia"/>
            </w:rPr>
            <w:t>☒</w:t>
          </w:r>
        </w:sdtContent>
      </w:sdt>
      <w:r w:rsidR="00F7335A">
        <w:t xml:space="preserve"> Gefahrstoffe</w:t>
      </w:r>
      <w:r w:rsidR="00F7335A">
        <w:tab/>
      </w:r>
      <w:r w:rsidR="00F7335A">
        <w:tab/>
      </w:r>
      <w:sdt>
        <w:sdtPr>
          <w:id w:val="1733805937"/>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D8025D">
        <w:t xml:space="preserve"> ionisierende Strahlung</w:t>
      </w:r>
    </w:p>
    <w:p w:rsidR="00F7335A" w:rsidRDefault="00F7335A" w:rsidP="00F7335A">
      <w:pPr>
        <w:spacing w:after="0" w:line="240" w:lineRule="auto"/>
      </w:pP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B105BE" w:rsidTr="00805F94">
        <w:tc>
          <w:tcPr>
            <w:tcW w:w="3227"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berührungsgefährliche Spannung (Betriebsspannung der Lampe ca. 115 V)</w:t>
            </w:r>
          </w:p>
        </w:tc>
        <w:tc>
          <w:tcPr>
            <w:tcW w:w="5953"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Versorgungsgerät (Drossel) ist abgeschlossen; Isolierung des Anschlusskabels prüfen; ggf. berührungssichere Steckbuchsen verwenden</w:t>
            </w:r>
            <w:r>
              <w:rPr>
                <w:rFonts w:asciiTheme="minorHAnsi" w:hAnsiTheme="minorHAnsi"/>
                <w:sz w:val="22"/>
                <w:szCs w:val="22"/>
              </w:rPr>
              <w:br/>
            </w:r>
          </w:p>
        </w:tc>
      </w:tr>
      <w:tr w:rsidR="00B105BE" w:rsidTr="00805F94">
        <w:tc>
          <w:tcPr>
            <w:tcW w:w="3227"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Bruch der Hochdrucklampe und Freisetzung von Quecksilber</w:t>
            </w:r>
          </w:p>
        </w:tc>
        <w:tc>
          <w:tcPr>
            <w:tcW w:w="5953"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Lampe keinen mechanischen Belastungen (z.</w:t>
            </w:r>
            <w:r>
              <w:rPr>
                <w:rFonts w:asciiTheme="minorHAnsi" w:hAnsiTheme="minorHAnsi" w:cs="Arial"/>
                <w:sz w:val="22"/>
                <w:szCs w:val="22"/>
              </w:rPr>
              <w:t xml:space="preserve"> </w:t>
            </w:r>
            <w:r w:rsidRPr="00B105BE">
              <w:rPr>
                <w:rFonts w:asciiTheme="minorHAnsi" w:hAnsiTheme="minorHAnsi"/>
                <w:sz w:val="22"/>
                <w:szCs w:val="22"/>
              </w:rPr>
              <w:t>B. Stößen) aussetzen und sicher fixieren.</w:t>
            </w:r>
          </w:p>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Im Falle des Bruchs der Lampe: Umgehend alle Fenster öffnen und den Raum verlassen. Anschließend die Sammlungsleiterin oder den Sammlungsleiter informieren und eine fachgerechte Entsorgung der Lampenreste organisieren (vgl. Ergänzungen).</w:t>
            </w:r>
            <w:r>
              <w:rPr>
                <w:rFonts w:asciiTheme="minorHAnsi" w:hAnsiTheme="minorHAnsi"/>
                <w:sz w:val="22"/>
                <w:szCs w:val="22"/>
              </w:rPr>
              <w:br/>
            </w:r>
          </w:p>
        </w:tc>
      </w:tr>
    </w:tbl>
    <w:p w:rsidR="00B105BE" w:rsidRDefault="00B105BE">
      <w:r>
        <w:br w:type="page"/>
      </w:r>
    </w:p>
    <w:tbl>
      <w:tblPr>
        <w:tblStyle w:val="Tabellenraster"/>
        <w:tblW w:w="9180" w:type="dxa"/>
        <w:tblLook w:val="04A0" w:firstRow="1" w:lastRow="0" w:firstColumn="1" w:lastColumn="0" w:noHBand="0" w:noVBand="1"/>
      </w:tblPr>
      <w:tblGrid>
        <w:gridCol w:w="3227"/>
        <w:gridCol w:w="5953"/>
      </w:tblGrid>
      <w:tr w:rsidR="00B105BE" w:rsidTr="00805F94">
        <w:tc>
          <w:tcPr>
            <w:tcW w:w="3227"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lastRenderedPageBreak/>
              <w:t>Verbrennungen bei Berühren der Hochdrucklampe (über 100 °C)</w:t>
            </w:r>
          </w:p>
        </w:tc>
        <w:tc>
          <w:tcPr>
            <w:tcW w:w="5953"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 xml:space="preserve">Lampenkörper beim Experimentieren und auch nach dem Ausschalten beim Abkühlen nicht berühren; </w:t>
            </w:r>
            <w:r>
              <w:rPr>
                <w:rFonts w:asciiTheme="minorHAnsi" w:hAnsiTheme="minorHAnsi"/>
                <w:sz w:val="22"/>
                <w:szCs w:val="22"/>
              </w:rPr>
              <w:br/>
            </w:r>
            <w:r w:rsidRPr="00B105BE">
              <w:rPr>
                <w:rFonts w:asciiTheme="minorHAnsi" w:hAnsiTheme="minorHAnsi"/>
                <w:sz w:val="22"/>
                <w:szCs w:val="22"/>
              </w:rPr>
              <w:t>die Betriebszeit begrenzen</w:t>
            </w:r>
            <w:r>
              <w:rPr>
                <w:rFonts w:asciiTheme="minorHAnsi" w:hAnsiTheme="minorHAnsi"/>
                <w:sz w:val="22"/>
                <w:szCs w:val="22"/>
              </w:rPr>
              <w:br/>
            </w:r>
          </w:p>
        </w:tc>
      </w:tr>
      <w:tr w:rsidR="00B105BE" w:rsidTr="00805F94">
        <w:tc>
          <w:tcPr>
            <w:tcW w:w="3227"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Schädigung von Haut und Auge durch UV-Strahlung</w:t>
            </w:r>
          </w:p>
        </w:tc>
        <w:tc>
          <w:tcPr>
            <w:tcW w:w="5953" w:type="dxa"/>
          </w:tcPr>
          <w:p w:rsidR="00B105BE" w:rsidRPr="00B105BE" w:rsidRDefault="00B105BE" w:rsidP="00B105BE">
            <w:pPr>
              <w:pStyle w:val="ABFlietext"/>
              <w:numPr>
                <w:ilvl w:val="0"/>
                <w:numId w:val="1"/>
              </w:numPr>
              <w:rPr>
                <w:rFonts w:asciiTheme="minorHAnsi" w:hAnsiTheme="minorHAnsi"/>
                <w:sz w:val="22"/>
                <w:szCs w:val="22"/>
              </w:rPr>
            </w:pPr>
            <w:r w:rsidRPr="00B105BE">
              <w:rPr>
                <w:rFonts w:asciiTheme="minorHAnsi" w:hAnsiTheme="minorHAnsi"/>
                <w:sz w:val="22"/>
                <w:szCs w:val="22"/>
              </w:rPr>
              <w:t>Sichtprüfung des Lampengehäuses auf Beschädigungen</w:t>
            </w:r>
          </w:p>
          <w:p w:rsidR="00B105BE" w:rsidRPr="00B105BE" w:rsidRDefault="00B105BE" w:rsidP="00B105BE">
            <w:pPr>
              <w:pStyle w:val="ABFlietext"/>
              <w:numPr>
                <w:ilvl w:val="0"/>
                <w:numId w:val="1"/>
              </w:numPr>
              <w:rPr>
                <w:rFonts w:asciiTheme="minorHAnsi" w:hAnsiTheme="minorHAnsi"/>
                <w:sz w:val="22"/>
                <w:szCs w:val="22"/>
              </w:rPr>
            </w:pPr>
            <w:r w:rsidRPr="00B105BE">
              <w:rPr>
                <w:rFonts w:asciiTheme="minorHAnsi" w:hAnsiTheme="minorHAnsi"/>
                <w:sz w:val="22"/>
                <w:szCs w:val="22"/>
              </w:rPr>
              <w:t>Schutzscheibe (z.</w:t>
            </w:r>
            <w:r>
              <w:rPr>
                <w:rFonts w:asciiTheme="minorHAnsi" w:hAnsiTheme="minorHAnsi" w:cs="Arial"/>
                <w:sz w:val="22"/>
                <w:szCs w:val="22"/>
              </w:rPr>
              <w:t xml:space="preserve"> </w:t>
            </w:r>
            <w:r w:rsidRPr="00B105BE">
              <w:rPr>
                <w:rFonts w:asciiTheme="minorHAnsi" w:hAnsiTheme="minorHAnsi"/>
                <w:sz w:val="22"/>
                <w:szCs w:val="22"/>
              </w:rPr>
              <w:t>B. Fenster- oder Plexiglas) zwischen Beobachter und Lampe aufstellen;</w:t>
            </w:r>
          </w:p>
          <w:p w:rsidR="00B105BE" w:rsidRPr="00B105BE" w:rsidRDefault="00B105BE" w:rsidP="00B105BE">
            <w:pPr>
              <w:pStyle w:val="ABFlietext"/>
              <w:numPr>
                <w:ilvl w:val="0"/>
                <w:numId w:val="1"/>
              </w:numPr>
              <w:rPr>
                <w:rFonts w:asciiTheme="minorHAnsi" w:hAnsiTheme="minorHAnsi"/>
                <w:sz w:val="22"/>
                <w:szCs w:val="22"/>
              </w:rPr>
            </w:pPr>
            <w:r w:rsidRPr="00B105BE">
              <w:rPr>
                <w:rFonts w:asciiTheme="minorHAnsi" w:hAnsiTheme="minorHAnsi"/>
                <w:sz w:val="22"/>
                <w:szCs w:val="22"/>
              </w:rPr>
              <w:t>Ausbreitungsrichtung des UV-Lichts senkrecht zur Beobachtungsrichtung wählen;</w:t>
            </w:r>
          </w:p>
          <w:p w:rsidR="00B105BE" w:rsidRPr="00B105BE" w:rsidRDefault="00B105BE" w:rsidP="00B105BE">
            <w:pPr>
              <w:pStyle w:val="ABFlietext"/>
              <w:numPr>
                <w:ilvl w:val="0"/>
                <w:numId w:val="1"/>
              </w:numPr>
              <w:rPr>
                <w:rFonts w:asciiTheme="minorHAnsi" w:hAnsiTheme="minorHAnsi"/>
                <w:sz w:val="22"/>
                <w:szCs w:val="22"/>
              </w:rPr>
            </w:pPr>
            <w:r w:rsidRPr="00B105BE">
              <w:rPr>
                <w:rFonts w:asciiTheme="minorHAnsi" w:hAnsiTheme="minorHAnsi"/>
                <w:sz w:val="22"/>
                <w:szCs w:val="22"/>
              </w:rPr>
              <w:t>nicht in das direkte oder reflektierte Lichtbündel blicken;</w:t>
            </w:r>
          </w:p>
          <w:p w:rsidR="00B105BE" w:rsidRPr="00B105BE" w:rsidRDefault="00B105BE" w:rsidP="00B105BE">
            <w:pPr>
              <w:pStyle w:val="ABFlietext"/>
              <w:numPr>
                <w:ilvl w:val="0"/>
                <w:numId w:val="1"/>
              </w:numPr>
              <w:rPr>
                <w:rFonts w:asciiTheme="minorHAnsi" w:hAnsiTheme="minorHAnsi"/>
                <w:sz w:val="22"/>
                <w:szCs w:val="22"/>
              </w:rPr>
            </w:pPr>
            <w:r w:rsidRPr="00B105BE">
              <w:rPr>
                <w:rFonts w:asciiTheme="minorHAnsi" w:hAnsiTheme="minorHAnsi"/>
                <w:sz w:val="22"/>
                <w:szCs w:val="22"/>
              </w:rPr>
              <w:t>nicht in den Strahlengang greifen, da das UV-Licht auch die Haut schädigen kann.</w:t>
            </w:r>
            <w:r>
              <w:rPr>
                <w:rFonts w:asciiTheme="minorHAnsi" w:hAnsiTheme="minorHAnsi"/>
                <w:sz w:val="22"/>
                <w:szCs w:val="22"/>
              </w:rPr>
              <w:br/>
            </w:r>
          </w:p>
        </w:tc>
      </w:tr>
      <w:tr w:rsidR="00B105BE" w:rsidTr="00805F94">
        <w:tc>
          <w:tcPr>
            <w:tcW w:w="3227"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leicht entzündlicher Zinkabrieb</w:t>
            </w:r>
          </w:p>
        </w:tc>
        <w:tc>
          <w:tcPr>
            <w:tcW w:w="5953" w:type="dxa"/>
          </w:tcPr>
          <w:p w:rsidR="00B105BE" w:rsidRPr="00B105BE" w:rsidRDefault="00B105BE">
            <w:pPr>
              <w:pStyle w:val="ABFlietext"/>
              <w:rPr>
                <w:rFonts w:asciiTheme="minorHAnsi" w:hAnsiTheme="minorHAnsi"/>
                <w:sz w:val="22"/>
                <w:szCs w:val="22"/>
              </w:rPr>
            </w:pPr>
            <w:r w:rsidRPr="00B105BE">
              <w:rPr>
                <w:rFonts w:asciiTheme="minorHAnsi" w:hAnsiTheme="minorHAnsi"/>
                <w:sz w:val="22"/>
                <w:szCs w:val="22"/>
              </w:rPr>
              <w:t>Zinkplatte nicht im Unterrichtsraum abschmirgeln</w:t>
            </w:r>
            <w:r>
              <w:rPr>
                <w:rFonts w:asciiTheme="minorHAnsi" w:hAnsiTheme="minorHAnsi"/>
                <w:sz w:val="22"/>
                <w:szCs w:val="22"/>
              </w:rPr>
              <w:br/>
            </w:r>
          </w:p>
        </w:tc>
      </w:tr>
    </w:tbl>
    <w:p w:rsidR="00F7335A" w:rsidRDefault="00F7335A" w:rsidP="00F7335A">
      <w:pPr>
        <w:spacing w:after="0" w:line="240" w:lineRule="auto"/>
      </w:pPr>
    </w:p>
    <w:p w:rsidR="00F7335A" w:rsidRPr="00DF38DB" w:rsidRDefault="00F7335A" w:rsidP="00F7335A">
      <w:pPr>
        <w:spacing w:after="0" w:line="240" w:lineRule="auto"/>
        <w:rPr>
          <w:b/>
        </w:rPr>
      </w:pPr>
      <w:r w:rsidRPr="00DF38DB">
        <w:rPr>
          <w:b/>
        </w:rPr>
        <w:t>Ergänzungen:</w:t>
      </w:r>
    </w:p>
    <w:p w:rsidR="00B105BE" w:rsidRPr="00B105BE" w:rsidRDefault="00B105BE" w:rsidP="00B105BE">
      <w:pPr>
        <w:tabs>
          <w:tab w:val="left" w:pos="3402"/>
        </w:tabs>
        <w:autoSpaceDE w:val="0"/>
        <w:autoSpaceDN w:val="0"/>
        <w:adjustRightInd w:val="0"/>
        <w:spacing w:after="0" w:line="240" w:lineRule="atLeast"/>
        <w:textAlignment w:val="center"/>
        <w:rPr>
          <w:rFonts w:eastAsiaTheme="minorHAnsi" w:cs="Frutiger LT Std 45 Light"/>
          <w:color w:val="000000"/>
          <w:lang w:eastAsia="en-US"/>
        </w:rPr>
      </w:pPr>
      <w:r w:rsidRPr="00B105BE">
        <w:rPr>
          <w:rFonts w:eastAsiaTheme="minorHAnsi" w:cs="Frutiger LT Std 45 Light"/>
          <w:color w:val="000000"/>
          <w:lang w:eastAsia="en-US"/>
        </w:rPr>
        <w:t xml:space="preserve">Die von den Lehrmittelfirmen vertriebenen Hochdruck- bzw. Höchstdrucklampen enthalten etwa </w:t>
      </w:r>
      <w:r>
        <w:rPr>
          <w:rFonts w:eastAsiaTheme="minorHAnsi" w:cs="Frutiger LT Std 45 Light"/>
          <w:color w:val="000000"/>
          <w:lang w:eastAsia="en-US"/>
        </w:rPr>
        <w:br/>
      </w:r>
      <w:r w:rsidRPr="00B105BE">
        <w:rPr>
          <w:rFonts w:eastAsiaTheme="minorHAnsi" w:cs="Frutiger LT Std 45 Light"/>
          <w:color w:val="000000"/>
          <w:lang w:eastAsia="en-US"/>
        </w:rPr>
        <w:t>15 mg Quecksilber. Unmittelbar nach dem Zerbrechen der Lampe ist die Quecksilberkonzentration in der Luft am höchsten. Daher sollte in der Nähe der zerbrochenen Lampe nicht eingeatmet werden. Es sollten sofort die Fenster geöffnet und der Raum verlassen werden. Erst nach 15 bis 30 Minuten bei weiter geöffneten Fenstern mit Einweghandschuhen (oder mit Kunststoff beschichteten Hand</w:t>
      </w:r>
      <w:r>
        <w:rPr>
          <w:rFonts w:eastAsiaTheme="minorHAnsi" w:cs="Frutiger LT Std 45 Light"/>
          <w:color w:val="000000"/>
          <w:lang w:eastAsia="en-US"/>
        </w:rPr>
        <w:t>-</w:t>
      </w:r>
      <w:r w:rsidRPr="00B105BE">
        <w:rPr>
          <w:rFonts w:eastAsiaTheme="minorHAnsi" w:cs="Frutiger LT Std 45 Light"/>
          <w:color w:val="000000"/>
          <w:lang w:eastAsia="en-US"/>
        </w:rPr>
        <w:t>schuhen) die Lampenreste sorgfältig, z.</w:t>
      </w:r>
      <w:r>
        <w:rPr>
          <w:rFonts w:eastAsiaTheme="minorHAnsi" w:cs="Arial"/>
          <w:color w:val="000000"/>
          <w:lang w:eastAsia="en-US"/>
        </w:rPr>
        <w:t xml:space="preserve"> </w:t>
      </w:r>
      <w:r w:rsidRPr="00B105BE">
        <w:rPr>
          <w:rFonts w:eastAsiaTheme="minorHAnsi" w:cs="Frutiger LT Std 45 Light"/>
          <w:color w:val="000000"/>
          <w:lang w:eastAsia="en-US"/>
        </w:rPr>
        <w:t>B. mit Karton oder steifem Papier, zusammenkehren oder mit Klebeband aufnehmen. Um das Quecksilber nicht aufzuwirbeln, sollten Lampenreste bei der ersten Grobreinigung nicht mit einem Besen oder Staubsauger entfernt werden. Alle benutzten Materialien sind in einen verschließbaren Behälter (z.</w:t>
      </w:r>
      <w:r>
        <w:rPr>
          <w:rFonts w:eastAsiaTheme="minorHAnsi" w:cs="Arial"/>
          <w:color w:val="000000"/>
          <w:lang w:eastAsia="en-US"/>
        </w:rPr>
        <w:t xml:space="preserve"> </w:t>
      </w:r>
      <w:r w:rsidRPr="00B105BE">
        <w:rPr>
          <w:rFonts w:eastAsiaTheme="minorHAnsi" w:cs="Frutiger LT Std 45 Light"/>
          <w:color w:val="000000"/>
          <w:lang w:eastAsia="en-US"/>
        </w:rPr>
        <w:t>B. Glasbehälter mit Schraubverschluss) zu geben. Der Behälter wird mit der Aufschrift „Achtung, kann Quecksilberreste enthalten“ gekennzeichnet und bei einer Entsorgungsstelle abgeliefert.</w:t>
      </w:r>
    </w:p>
    <w:p w:rsidR="00B105BE" w:rsidRPr="00B105BE" w:rsidRDefault="00B105BE" w:rsidP="00B105BE">
      <w:pPr>
        <w:tabs>
          <w:tab w:val="left" w:pos="3402"/>
        </w:tabs>
        <w:autoSpaceDE w:val="0"/>
        <w:autoSpaceDN w:val="0"/>
        <w:adjustRightInd w:val="0"/>
        <w:spacing w:after="0" w:line="240" w:lineRule="atLeast"/>
        <w:textAlignment w:val="center"/>
        <w:rPr>
          <w:rFonts w:eastAsiaTheme="minorHAnsi" w:cs="Frutiger LT Std 45 Light"/>
          <w:color w:val="000000"/>
          <w:lang w:eastAsia="en-US"/>
        </w:rPr>
      </w:pPr>
      <w:r w:rsidRPr="00B105BE">
        <w:rPr>
          <w:rFonts w:eastAsiaTheme="minorHAnsi" w:cs="Frutiger LT Std 45 Light"/>
          <w:color w:val="000000"/>
          <w:lang w:eastAsia="en-US"/>
        </w:rPr>
        <w:t>Zum Vergleich: Energiesparlampen haben einen Quecksilbergehalt von bis zu 2,5 mg (neuer Grenzwert ab 01.01.2013 für Leistungen unter 30 W). Das Umweltbundesamt empfiehlt nach dem Bruch eines solchen Leuchtmittels ein sofortiges, fünfzehnminütiges und gründliches Lüften.</w:t>
      </w:r>
    </w:p>
    <w:p w:rsidR="00F7335A" w:rsidRDefault="00F7335A" w:rsidP="00F7335A">
      <w:pPr>
        <w:spacing w:after="0" w:line="240" w:lineRule="auto"/>
      </w:pPr>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5265CE" w:rsidP="006E0775">
      <w:pPr>
        <w:spacing w:after="0" w:line="240" w:lineRule="auto"/>
      </w:pPr>
      <w:sdt>
        <w:sdtPr>
          <w:id w:val="1334730916"/>
          <w14:checkbox>
            <w14:checked w14:val="1"/>
            <w14:checkedState w14:val="2612" w14:font="MS Gothic"/>
            <w14:uncheckedState w14:val="2610" w14:font="MS Gothic"/>
          </w14:checkbox>
        </w:sdtPr>
        <w:sdtEndPr/>
        <w:sdtContent>
          <w:r w:rsidR="00A17C5B">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t>Wirksamkeit:</w:t>
      </w:r>
    </w:p>
    <w:p w:rsidR="00F7335A" w:rsidRDefault="00A17C5B" w:rsidP="00F7335A">
      <w:pPr>
        <w:spacing w:after="0" w:line="240" w:lineRule="auto"/>
      </w:pPr>
      <w:r>
        <w:t>-</w:t>
      </w:r>
    </w:p>
    <w:sectPr w:rsidR="00F7335A" w:rsidSect="00D8025D">
      <w:headerReference w:type="default" r:id="rId9"/>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5CE" w:rsidRDefault="005265CE" w:rsidP="00C00502">
      <w:pPr>
        <w:spacing w:after="0" w:line="240" w:lineRule="auto"/>
      </w:pPr>
      <w:r>
        <w:separator/>
      </w:r>
    </w:p>
  </w:endnote>
  <w:endnote w:type="continuationSeparator" w:id="0">
    <w:p w:rsidR="005265CE" w:rsidRDefault="005265CE"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5CE" w:rsidRDefault="005265CE" w:rsidP="00C00502">
      <w:pPr>
        <w:spacing w:after="0" w:line="240" w:lineRule="auto"/>
      </w:pPr>
      <w:r>
        <w:separator/>
      </w:r>
    </w:p>
  </w:footnote>
  <w:footnote w:type="continuationSeparator" w:id="0">
    <w:p w:rsidR="005265CE" w:rsidRDefault="005265CE"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5002B"/>
    <w:multiLevelType w:val="hybridMultilevel"/>
    <w:tmpl w:val="5A84EF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85247"/>
    <w:rsid w:val="000A7D6C"/>
    <w:rsid w:val="000B4785"/>
    <w:rsid w:val="000B6B40"/>
    <w:rsid w:val="000F0165"/>
    <w:rsid w:val="00117E2D"/>
    <w:rsid w:val="0012716D"/>
    <w:rsid w:val="001549DB"/>
    <w:rsid w:val="00163FCF"/>
    <w:rsid w:val="00166290"/>
    <w:rsid w:val="001B7141"/>
    <w:rsid w:val="001F7600"/>
    <w:rsid w:val="002865C7"/>
    <w:rsid w:val="002E0716"/>
    <w:rsid w:val="003208CC"/>
    <w:rsid w:val="003736F8"/>
    <w:rsid w:val="003D28C6"/>
    <w:rsid w:val="00413392"/>
    <w:rsid w:val="00456368"/>
    <w:rsid w:val="00472E27"/>
    <w:rsid w:val="00496D36"/>
    <w:rsid w:val="004E0660"/>
    <w:rsid w:val="00520EE0"/>
    <w:rsid w:val="005265CE"/>
    <w:rsid w:val="005773F9"/>
    <w:rsid w:val="005D182C"/>
    <w:rsid w:val="00617967"/>
    <w:rsid w:val="00624D7A"/>
    <w:rsid w:val="006442C3"/>
    <w:rsid w:val="0066409C"/>
    <w:rsid w:val="006B76F6"/>
    <w:rsid w:val="006E0775"/>
    <w:rsid w:val="006E07BD"/>
    <w:rsid w:val="006E20FE"/>
    <w:rsid w:val="006E7C1D"/>
    <w:rsid w:val="00762CFF"/>
    <w:rsid w:val="007738C7"/>
    <w:rsid w:val="00787C78"/>
    <w:rsid w:val="007A09D5"/>
    <w:rsid w:val="007A2D0D"/>
    <w:rsid w:val="007A4D04"/>
    <w:rsid w:val="007D1D89"/>
    <w:rsid w:val="007E79F1"/>
    <w:rsid w:val="00805F94"/>
    <w:rsid w:val="00812FF0"/>
    <w:rsid w:val="008262FE"/>
    <w:rsid w:val="00833D6A"/>
    <w:rsid w:val="00843C1E"/>
    <w:rsid w:val="00896D23"/>
    <w:rsid w:val="008C7436"/>
    <w:rsid w:val="008F7253"/>
    <w:rsid w:val="008F7E88"/>
    <w:rsid w:val="009067E6"/>
    <w:rsid w:val="00927324"/>
    <w:rsid w:val="00937736"/>
    <w:rsid w:val="00954B92"/>
    <w:rsid w:val="00970010"/>
    <w:rsid w:val="00A113E6"/>
    <w:rsid w:val="00A17C5B"/>
    <w:rsid w:val="00A2556B"/>
    <w:rsid w:val="00A675A5"/>
    <w:rsid w:val="00A93ECC"/>
    <w:rsid w:val="00AB1571"/>
    <w:rsid w:val="00AC3FEB"/>
    <w:rsid w:val="00B105BE"/>
    <w:rsid w:val="00B41A45"/>
    <w:rsid w:val="00B775DD"/>
    <w:rsid w:val="00B84BE0"/>
    <w:rsid w:val="00BA32C0"/>
    <w:rsid w:val="00BB3F7A"/>
    <w:rsid w:val="00BC6D31"/>
    <w:rsid w:val="00C00502"/>
    <w:rsid w:val="00C0191A"/>
    <w:rsid w:val="00C163AF"/>
    <w:rsid w:val="00C31D67"/>
    <w:rsid w:val="00C7642E"/>
    <w:rsid w:val="00C76C9E"/>
    <w:rsid w:val="00C8478F"/>
    <w:rsid w:val="00CB2A8C"/>
    <w:rsid w:val="00CB3127"/>
    <w:rsid w:val="00CC73B5"/>
    <w:rsid w:val="00CC787F"/>
    <w:rsid w:val="00D143F0"/>
    <w:rsid w:val="00D53F75"/>
    <w:rsid w:val="00D62274"/>
    <w:rsid w:val="00D8025D"/>
    <w:rsid w:val="00DC5838"/>
    <w:rsid w:val="00E75C10"/>
    <w:rsid w:val="00E96097"/>
    <w:rsid w:val="00EE7FC0"/>
    <w:rsid w:val="00EF3602"/>
    <w:rsid w:val="00F23079"/>
    <w:rsid w:val="00F52653"/>
    <w:rsid w:val="00F707F5"/>
    <w:rsid w:val="00F7335A"/>
    <w:rsid w:val="00F97927"/>
    <w:rsid w:val="00FA299D"/>
    <w:rsid w:val="00FB2632"/>
    <w:rsid w:val="00F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12716D"/>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12716D"/>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Karin Wasserburger</cp:lastModifiedBy>
  <cp:revision>4</cp:revision>
  <dcterms:created xsi:type="dcterms:W3CDTF">2017-04-21T10:41:00Z</dcterms:created>
  <dcterms:modified xsi:type="dcterms:W3CDTF">2017-04-21T10:46:00Z</dcterms:modified>
</cp:coreProperties>
</file>