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7621"/>
        <w:gridCol w:w="1559"/>
      </w:tblGrid>
      <w:tr w:rsidR="00D8025D" w:rsidRPr="00044BBB" w:rsidTr="00CC73B5">
        <w:tc>
          <w:tcPr>
            <w:tcW w:w="7621" w:type="dxa"/>
            <w:vAlign w:val="center"/>
          </w:tcPr>
          <w:p w:rsidR="00D8025D" w:rsidRPr="00044BBB" w:rsidRDefault="00624D7A" w:rsidP="00CC73B5">
            <w:pPr>
              <w:spacing w:after="0" w:line="240" w:lineRule="auto"/>
              <w:rPr>
                <w:b/>
                <w:sz w:val="28"/>
                <w:szCs w:val="28"/>
              </w:rPr>
            </w:pPr>
            <w:r w:rsidRPr="00044BBB">
              <w:rPr>
                <w:b/>
                <w:sz w:val="28"/>
                <w:szCs w:val="28"/>
              </w:rPr>
              <w:t>Versuch</w:t>
            </w:r>
            <w:r w:rsidR="00C00502" w:rsidRPr="00044BBB">
              <w:rPr>
                <w:b/>
                <w:sz w:val="28"/>
                <w:szCs w:val="28"/>
              </w:rPr>
              <w:t>:</w:t>
            </w:r>
            <w:r w:rsidR="00044BBB" w:rsidRPr="00044BBB">
              <w:rPr>
                <w:b/>
                <w:sz w:val="28"/>
                <w:szCs w:val="28"/>
              </w:rPr>
              <w:t xml:space="preserve"> </w:t>
            </w:r>
            <w:r w:rsidR="00044BBB" w:rsidRPr="00044BBB">
              <w:rPr>
                <w:rFonts w:ascii="Calibri" w:hAnsi="Calibri"/>
                <w:b/>
                <w:sz w:val="28"/>
                <w:szCs w:val="28"/>
              </w:rPr>
              <w:t>Konvektionsrohr</w:t>
            </w:r>
          </w:p>
        </w:tc>
        <w:tc>
          <w:tcPr>
            <w:tcW w:w="1559" w:type="dxa"/>
            <w:vAlign w:val="center"/>
          </w:tcPr>
          <w:p w:rsidR="00D8025D" w:rsidRPr="00044BBB" w:rsidRDefault="00D8025D" w:rsidP="00CC73B5">
            <w:pPr>
              <w:spacing w:after="0" w:line="240" w:lineRule="auto"/>
              <w:rPr>
                <w:b/>
                <w:sz w:val="28"/>
                <w:szCs w:val="28"/>
              </w:rPr>
            </w:pPr>
            <w:proofErr w:type="spellStart"/>
            <w:r w:rsidRPr="00044BBB">
              <w:rPr>
                <w:b/>
                <w:sz w:val="28"/>
                <w:szCs w:val="28"/>
              </w:rPr>
              <w:t>Jgst</w:t>
            </w:r>
            <w:proofErr w:type="spellEnd"/>
            <w:r w:rsidRPr="00044BBB">
              <w:rPr>
                <w:b/>
                <w:sz w:val="28"/>
                <w:szCs w:val="28"/>
              </w:rPr>
              <w:t>.</w:t>
            </w:r>
            <w:r w:rsidR="00044BBB" w:rsidRPr="00044BBB">
              <w:rPr>
                <w:b/>
                <w:sz w:val="28"/>
                <w:szCs w:val="28"/>
              </w:rPr>
              <w:t xml:space="preserve"> 9</w:t>
            </w:r>
          </w:p>
        </w:tc>
      </w:tr>
    </w:tbl>
    <w:p w:rsidR="00D8025D" w:rsidRPr="00044BBB" w:rsidRDefault="00D8025D" w:rsidP="00F7335A">
      <w:pPr>
        <w:spacing w:after="0" w:line="240" w:lineRule="auto"/>
        <w:rPr>
          <w:b/>
          <w:sz w:val="28"/>
          <w:szCs w:val="28"/>
        </w:rPr>
      </w:pPr>
      <w:r w:rsidRPr="00044BBB">
        <w:rPr>
          <w:b/>
          <w:sz w:val="28"/>
          <w:szCs w:val="28"/>
        </w:rPr>
        <w:tab/>
      </w:r>
      <w:r w:rsidRPr="00044BBB">
        <w:rPr>
          <w:b/>
          <w:sz w:val="28"/>
          <w:szCs w:val="28"/>
        </w:rPr>
        <w:tab/>
      </w:r>
      <w:r w:rsidRPr="00044BBB">
        <w:rPr>
          <w:b/>
          <w:sz w:val="28"/>
          <w:szCs w:val="28"/>
        </w:rPr>
        <w:tab/>
      </w:r>
    </w:p>
    <w:p w:rsidR="00F7335A" w:rsidRDefault="00BC3DBE" w:rsidP="00F7335A">
      <w:pPr>
        <w:spacing w:after="0" w:line="240" w:lineRule="auto"/>
      </w:pPr>
      <w:sdt>
        <w:sdtPr>
          <w:id w:val="-1861416850"/>
          <w14:checkbox>
            <w14:checked w14:val="1"/>
            <w14:checkedState w14:val="2612" w14:font="MS Gothic"/>
            <w14:uncheckedState w14:val="2610" w14:font="MS Gothic"/>
          </w14:checkbox>
        </w:sdtPr>
        <w:sdtEndPr/>
        <w:sdtContent>
          <w:r w:rsidR="00044BBB">
            <w:rPr>
              <w:rFonts w:ascii="MS Gothic" w:eastAsia="MS Gothic" w:hAnsi="MS Gothic" w:hint="eastAsia"/>
            </w:rPr>
            <w:t>☒</w:t>
          </w:r>
        </w:sdtContent>
      </w:sdt>
      <w:r w:rsidR="00F7335A">
        <w:t xml:space="preserve"> Lehrerexperiment</w:t>
      </w:r>
      <w:r w:rsidR="00F7335A">
        <w:tab/>
      </w:r>
      <w:sdt>
        <w:sdtPr>
          <w:id w:val="-1756278546"/>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F7335A">
        <w:t xml:space="preserve"> </w:t>
      </w:r>
      <w:proofErr w:type="spellStart"/>
      <w:r w:rsidR="00F7335A">
        <w:t>Lehrerexperiment</w:t>
      </w:r>
      <w:proofErr w:type="spellEnd"/>
      <w:r w:rsidR="00F7335A">
        <w:t xml:space="preserve"> mit Schülerbeteiligung </w:t>
      </w:r>
      <w:r w:rsidR="00F7335A">
        <w:tab/>
      </w:r>
      <w:sdt>
        <w:sdtPr>
          <w:id w:val="564615335"/>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Schülerexperiment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Ggf. kurze Beschreibung des Experiments:</w:t>
      </w:r>
    </w:p>
    <w:p w:rsidR="004067AA" w:rsidRPr="004067AA" w:rsidRDefault="004067AA" w:rsidP="004067AA">
      <w:pPr>
        <w:pStyle w:val="ABFlietext"/>
        <w:rPr>
          <w:rFonts w:asciiTheme="minorHAnsi" w:hAnsiTheme="minorHAnsi"/>
          <w:sz w:val="22"/>
          <w:szCs w:val="22"/>
        </w:rPr>
      </w:pPr>
      <w:r w:rsidRPr="004067AA">
        <w:rPr>
          <w:rFonts w:asciiTheme="minorHAnsi" w:hAnsiTheme="minorHAnsi"/>
          <w:sz w:val="22"/>
          <w:szCs w:val="22"/>
        </w:rPr>
        <w:t>Der Versuch zeigt das Prinzip einer Warmwasserheizung unter Verwendung eines Konvektionsrohrs. Das wassergefüllte Rohr wird an einer Ecke erhitzt. Die entstehende Zirkulation wird mithilfe eines Farbstoffs sichtbar gemacht.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Ersatzprüfung:</w:t>
      </w:r>
    </w:p>
    <w:p w:rsidR="004067AA" w:rsidRPr="004067AA" w:rsidRDefault="004067AA" w:rsidP="004067AA">
      <w:pPr>
        <w:pStyle w:val="ABFlietext"/>
        <w:rPr>
          <w:rFonts w:asciiTheme="minorHAnsi" w:hAnsiTheme="minorHAnsi"/>
          <w:b/>
          <w:bCs/>
          <w:sz w:val="22"/>
          <w:szCs w:val="22"/>
        </w:rPr>
      </w:pPr>
      <w:r w:rsidRPr="004067AA">
        <w:rPr>
          <w:rFonts w:asciiTheme="minorHAnsi" w:hAnsiTheme="minorHAnsi"/>
          <w:sz w:val="22"/>
          <w:szCs w:val="22"/>
        </w:rPr>
        <w:t>Zur Einfärbung des Wassers wird nicht Kaliumpermanganat, sondern Lebensmittelfarbe oder Tinte verwendet. Falls Tinte eingesetzt wird, muss darauf geachtet werden, dass diese bei einer Temperatur ab ca. 60 °C zersetzt wird.</w:t>
      </w:r>
    </w:p>
    <w:p w:rsidR="00F7335A" w:rsidRDefault="00F7335A" w:rsidP="00F7335A">
      <w:pPr>
        <w:spacing w:after="0" w:line="240" w:lineRule="auto"/>
      </w:pPr>
    </w:p>
    <w:p w:rsidR="00F7335A" w:rsidRDefault="00F7335A" w:rsidP="00F7335A">
      <w:pPr>
        <w:spacing w:after="0" w:line="240" w:lineRule="auto"/>
        <w:rPr>
          <w:b/>
        </w:rPr>
      </w:pPr>
      <w:r w:rsidRPr="00F7335A">
        <w:rPr>
          <w:b/>
        </w:rPr>
        <w:t>Gefährdungsarten:</w:t>
      </w:r>
    </w:p>
    <w:p w:rsidR="00F7335A" w:rsidRPr="00F7335A" w:rsidRDefault="00BC3DBE" w:rsidP="00F7335A">
      <w:pPr>
        <w:spacing w:after="0" w:line="240" w:lineRule="auto"/>
      </w:pPr>
      <w:sdt>
        <w:sdtPr>
          <w:id w:val="-2139549824"/>
          <w14:checkbox>
            <w14:checked w14:val="1"/>
            <w14:checkedState w14:val="2612" w14:font="MS Gothic"/>
            <w14:uncheckedState w14:val="2610" w14:font="MS Gothic"/>
          </w14:checkbox>
        </w:sdtPr>
        <w:sdtEndPr/>
        <w:sdtContent>
          <w:r w:rsidR="00044BBB">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sdt>
        <w:sdtPr>
          <w:id w:val="436641302"/>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F7335A">
        <w:t xml:space="preserve"> elektrisch </w:t>
      </w:r>
      <w:r w:rsidR="000F0165">
        <w:tab/>
      </w:r>
      <w:r w:rsidR="00F7335A">
        <w:tab/>
      </w:r>
      <w:sdt>
        <w:sdtPr>
          <w:id w:val="279838057"/>
          <w14:checkbox>
            <w14:checked w14:val="1"/>
            <w14:checkedState w14:val="2612" w14:font="MS Gothic"/>
            <w14:uncheckedState w14:val="2610" w14:font="MS Gothic"/>
          </w14:checkbox>
        </w:sdtPr>
        <w:sdtEndPr/>
        <w:sdtContent>
          <w:r w:rsidR="00044BBB">
            <w:rPr>
              <w:rFonts w:ascii="MS Gothic" w:eastAsia="MS Gothic" w:hAnsi="MS Gothic" w:hint="eastAsia"/>
            </w:rPr>
            <w:t>☒</w:t>
          </w:r>
        </w:sdtContent>
      </w:sdt>
      <w:r w:rsidR="00F7335A">
        <w:t xml:space="preserve"> thermisch</w:t>
      </w:r>
      <w:r w:rsidR="000F0165">
        <w:tab/>
      </w:r>
      <w:r w:rsidR="00F7335A">
        <w:tab/>
      </w:r>
      <w:sdt>
        <w:sdtPr>
          <w:id w:val="599459374"/>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0F0165">
        <w:t xml:space="preserve"> IR-, optische, </w:t>
      </w:r>
      <w:r w:rsidR="00F7335A">
        <w:t>UV-Strahlung</w:t>
      </w:r>
    </w:p>
    <w:p w:rsidR="00F7335A" w:rsidRDefault="00BC3DBE" w:rsidP="00F7335A">
      <w:pPr>
        <w:spacing w:after="0" w:line="240" w:lineRule="auto"/>
        <w:rPr>
          <w:b/>
        </w:rPr>
      </w:pPr>
      <w:sdt>
        <w:sdtPr>
          <w:id w:val="308214633"/>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D8025D">
        <w:t xml:space="preserve"> </w:t>
      </w:r>
      <w:r w:rsidR="00F707F5">
        <w:t>Maschinen</w:t>
      </w:r>
      <w:r w:rsidR="00BC6D31">
        <w:t>einsatz</w:t>
      </w:r>
      <w:r w:rsidR="000F0165">
        <w:tab/>
      </w:r>
      <w:sdt>
        <w:sdtPr>
          <w:id w:val="905180250"/>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D8025D">
        <w:t xml:space="preserve"> </w:t>
      </w:r>
      <w:r w:rsidR="00F7335A">
        <w:t>Lärm</w:t>
      </w:r>
      <w:r w:rsidR="00F7335A">
        <w:tab/>
      </w:r>
      <w:r w:rsidR="00F7335A">
        <w:tab/>
      </w:r>
      <w:sdt>
        <w:sdtPr>
          <w:id w:val="-1672475452"/>
          <w14:checkbox>
            <w14:checked w14:val="1"/>
            <w14:checkedState w14:val="2612" w14:font="MS Gothic"/>
            <w14:uncheckedState w14:val="2610" w14:font="MS Gothic"/>
          </w14:checkbox>
        </w:sdtPr>
        <w:sdtEndPr/>
        <w:sdtContent>
          <w:r w:rsidR="00044BBB">
            <w:rPr>
              <w:rFonts w:ascii="MS Gothic" w:eastAsia="MS Gothic" w:hAnsi="MS Gothic" w:hint="eastAsia"/>
            </w:rPr>
            <w:t>☒</w:t>
          </w:r>
        </w:sdtContent>
      </w:sdt>
      <w:r w:rsidR="00F7335A">
        <w:t xml:space="preserve"> Gefahrstoffe</w:t>
      </w:r>
      <w:r w:rsidR="00F7335A">
        <w:tab/>
      </w:r>
      <w:r w:rsidR="00F7335A">
        <w:tab/>
      </w:r>
      <w:sdt>
        <w:sdtPr>
          <w:id w:val="1733805937"/>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D8025D">
        <w:t xml:space="preserve"> ionisierende Strahlung</w:t>
      </w:r>
    </w:p>
    <w:p w:rsidR="00F7335A" w:rsidRDefault="00F7335A" w:rsidP="00F7335A">
      <w:pPr>
        <w:spacing w:after="0" w:line="240" w:lineRule="auto"/>
      </w:pPr>
    </w:p>
    <w:tbl>
      <w:tblPr>
        <w:tblStyle w:val="Tabellenraster"/>
        <w:tblW w:w="9180" w:type="dxa"/>
        <w:tblLook w:val="04A0" w:firstRow="1" w:lastRow="0" w:firstColumn="1" w:lastColumn="0" w:noHBand="0" w:noVBand="1"/>
      </w:tblPr>
      <w:tblGrid>
        <w:gridCol w:w="3227"/>
        <w:gridCol w:w="5953"/>
      </w:tblGrid>
      <w:tr w:rsidR="00F7335A" w:rsidRPr="00DF38DB" w:rsidTr="00805F94">
        <w:tc>
          <w:tcPr>
            <w:tcW w:w="3227" w:type="dxa"/>
          </w:tcPr>
          <w:p w:rsidR="00F7335A" w:rsidRPr="00DF38DB" w:rsidRDefault="00F7335A" w:rsidP="00285AFF">
            <w:pPr>
              <w:spacing w:after="0" w:line="240" w:lineRule="auto"/>
              <w:rPr>
                <w:b/>
              </w:rPr>
            </w:pPr>
            <w:r>
              <w:rPr>
                <w:b/>
              </w:rPr>
              <w:t>k</w:t>
            </w:r>
            <w:r w:rsidRPr="00DF38DB">
              <w:rPr>
                <w:b/>
              </w:rPr>
              <w:t>onkrete Gefährdungen</w:t>
            </w:r>
          </w:p>
        </w:tc>
        <w:tc>
          <w:tcPr>
            <w:tcW w:w="5953" w:type="dxa"/>
          </w:tcPr>
          <w:p w:rsidR="00F7335A" w:rsidRPr="00DF38DB" w:rsidRDefault="00F7335A" w:rsidP="00285AFF">
            <w:pPr>
              <w:spacing w:after="0" w:line="240" w:lineRule="auto"/>
              <w:rPr>
                <w:b/>
              </w:rPr>
            </w:pPr>
            <w:r w:rsidRPr="00DF38DB">
              <w:rPr>
                <w:b/>
              </w:rPr>
              <w:t>Schutzmaßnahmen</w:t>
            </w:r>
            <w:r>
              <w:rPr>
                <w:b/>
              </w:rPr>
              <w:t xml:space="preserve"> (z. B. gerätebezogen, baulich, </w:t>
            </w:r>
            <w:r w:rsidR="007A09D5">
              <w:rPr>
                <w:b/>
              </w:rPr>
              <w:br/>
            </w:r>
            <w:r>
              <w:rPr>
                <w:b/>
              </w:rPr>
              <w:t xml:space="preserve">bei der Durchführung des Experiments) </w:t>
            </w:r>
          </w:p>
        </w:tc>
      </w:tr>
      <w:tr w:rsidR="004067AA" w:rsidTr="00805F94">
        <w:tc>
          <w:tcPr>
            <w:tcW w:w="3227" w:type="dxa"/>
          </w:tcPr>
          <w:p w:rsidR="004067AA" w:rsidRPr="004067AA" w:rsidRDefault="004067AA">
            <w:pPr>
              <w:pStyle w:val="ABFlietext"/>
              <w:rPr>
                <w:rFonts w:asciiTheme="minorHAnsi" w:hAnsiTheme="minorHAnsi"/>
                <w:sz w:val="22"/>
                <w:szCs w:val="22"/>
              </w:rPr>
            </w:pPr>
            <w:r w:rsidRPr="004067AA">
              <w:rPr>
                <w:rFonts w:asciiTheme="minorHAnsi" w:hAnsiTheme="minorHAnsi"/>
                <w:sz w:val="22"/>
                <w:szCs w:val="22"/>
              </w:rPr>
              <w:t>Bei Bruch des Konvektionsrohrs besteht Verbrühungsgefahr und die Gefahr von Schnittverletzungen.</w:t>
            </w:r>
            <w:r>
              <w:rPr>
                <w:rFonts w:asciiTheme="minorHAnsi" w:hAnsiTheme="minorHAnsi"/>
                <w:sz w:val="22"/>
                <w:szCs w:val="22"/>
              </w:rPr>
              <w:br/>
            </w:r>
          </w:p>
        </w:tc>
        <w:tc>
          <w:tcPr>
            <w:tcW w:w="5953" w:type="dxa"/>
          </w:tcPr>
          <w:p w:rsidR="004067AA" w:rsidRPr="004067AA" w:rsidRDefault="004067AA">
            <w:pPr>
              <w:pStyle w:val="ABFlietext"/>
              <w:rPr>
                <w:rFonts w:asciiTheme="minorHAnsi" w:hAnsiTheme="minorHAnsi"/>
                <w:sz w:val="22"/>
                <w:szCs w:val="22"/>
              </w:rPr>
            </w:pPr>
            <w:r w:rsidRPr="004067AA">
              <w:rPr>
                <w:rFonts w:asciiTheme="minorHAnsi" w:hAnsiTheme="minorHAnsi"/>
                <w:sz w:val="22"/>
                <w:szCs w:val="22"/>
              </w:rPr>
              <w:t xml:space="preserve">Es ist auf einen stabilen Aufbau zu achten; ggf. sind zwei </w:t>
            </w:r>
            <w:r w:rsidRPr="004067AA">
              <w:rPr>
                <w:rFonts w:asciiTheme="minorHAnsi" w:hAnsiTheme="minorHAnsi"/>
                <w:sz w:val="22"/>
                <w:szCs w:val="22"/>
              </w:rPr>
              <w:br/>
              <w:t>Halterungen einzusetzen.</w:t>
            </w:r>
          </w:p>
          <w:p w:rsidR="004067AA" w:rsidRPr="004067AA" w:rsidRDefault="004067AA">
            <w:pPr>
              <w:pStyle w:val="ABFlietext"/>
              <w:rPr>
                <w:rFonts w:asciiTheme="minorHAnsi" w:hAnsiTheme="minorHAnsi"/>
                <w:sz w:val="22"/>
                <w:szCs w:val="22"/>
              </w:rPr>
            </w:pPr>
            <w:r w:rsidRPr="004067AA">
              <w:rPr>
                <w:rFonts w:asciiTheme="minorHAnsi" w:hAnsiTheme="minorHAnsi"/>
                <w:sz w:val="22"/>
                <w:szCs w:val="22"/>
              </w:rPr>
              <w:t>An der Ecke des Konvektionsrohrs, die erhitzt wird, ein Wärmeleitgitter (siehe Ergänzungen) verwenden.</w:t>
            </w:r>
          </w:p>
        </w:tc>
      </w:tr>
      <w:tr w:rsidR="004067AA" w:rsidTr="00805F94">
        <w:tc>
          <w:tcPr>
            <w:tcW w:w="3227" w:type="dxa"/>
          </w:tcPr>
          <w:p w:rsidR="004067AA" w:rsidRPr="004067AA" w:rsidRDefault="004067AA">
            <w:pPr>
              <w:pStyle w:val="ABFlietext"/>
              <w:rPr>
                <w:rFonts w:asciiTheme="minorHAnsi" w:hAnsiTheme="minorHAnsi"/>
                <w:sz w:val="22"/>
                <w:szCs w:val="22"/>
              </w:rPr>
            </w:pPr>
            <w:r w:rsidRPr="004067AA">
              <w:rPr>
                <w:rFonts w:asciiTheme="minorHAnsi" w:hAnsiTheme="minorHAnsi"/>
                <w:sz w:val="22"/>
                <w:szCs w:val="22"/>
              </w:rPr>
              <w:t>Verbrennungsgefahr</w:t>
            </w:r>
          </w:p>
        </w:tc>
        <w:tc>
          <w:tcPr>
            <w:tcW w:w="5953" w:type="dxa"/>
          </w:tcPr>
          <w:p w:rsidR="004067AA" w:rsidRPr="004067AA" w:rsidRDefault="004067AA">
            <w:pPr>
              <w:pStyle w:val="ABFlietext"/>
              <w:rPr>
                <w:rFonts w:asciiTheme="minorHAnsi" w:hAnsiTheme="minorHAnsi"/>
                <w:sz w:val="22"/>
                <w:szCs w:val="22"/>
              </w:rPr>
            </w:pPr>
            <w:r w:rsidRPr="004067AA">
              <w:rPr>
                <w:rFonts w:asciiTheme="minorHAnsi" w:hAnsiTheme="minorHAnsi"/>
                <w:sz w:val="22"/>
                <w:szCs w:val="22"/>
              </w:rPr>
              <w:t xml:space="preserve">direkten Hautkontakt mit dem Rohr vermeiden; </w:t>
            </w:r>
          </w:p>
          <w:p w:rsidR="004067AA" w:rsidRPr="004067AA" w:rsidRDefault="004067AA">
            <w:pPr>
              <w:pStyle w:val="ABFlietext"/>
              <w:rPr>
                <w:rFonts w:asciiTheme="minorHAnsi" w:hAnsiTheme="minorHAnsi"/>
                <w:sz w:val="22"/>
                <w:szCs w:val="22"/>
              </w:rPr>
            </w:pPr>
            <w:r w:rsidRPr="004067AA">
              <w:rPr>
                <w:rFonts w:asciiTheme="minorHAnsi" w:hAnsiTheme="minorHAnsi"/>
                <w:sz w:val="22"/>
                <w:szCs w:val="22"/>
              </w:rPr>
              <w:t>besondere Vorsicht beim Umgang mit der offenen Flamme</w:t>
            </w:r>
            <w:r>
              <w:rPr>
                <w:rFonts w:asciiTheme="minorHAnsi" w:hAnsiTheme="minorHAnsi"/>
                <w:sz w:val="22"/>
                <w:szCs w:val="22"/>
              </w:rPr>
              <w:br/>
            </w:r>
          </w:p>
        </w:tc>
      </w:tr>
    </w:tbl>
    <w:p w:rsidR="00F7335A" w:rsidRDefault="00F7335A" w:rsidP="00F7335A">
      <w:pPr>
        <w:spacing w:after="0" w:line="240" w:lineRule="auto"/>
      </w:pPr>
    </w:p>
    <w:p w:rsidR="00F7335A" w:rsidRPr="00DF38DB" w:rsidRDefault="00F7335A" w:rsidP="00F7335A">
      <w:pPr>
        <w:spacing w:after="0" w:line="240" w:lineRule="auto"/>
        <w:rPr>
          <w:b/>
        </w:rPr>
      </w:pPr>
      <w:r w:rsidRPr="00DF38DB">
        <w:rPr>
          <w:b/>
        </w:rPr>
        <w:t>Ergänzungen:</w:t>
      </w:r>
    </w:p>
    <w:p w:rsidR="00BC3DBE" w:rsidRPr="00BC3DBE" w:rsidRDefault="00BC3DBE" w:rsidP="00BC3DBE">
      <w:pPr>
        <w:pStyle w:val="ABFlietext"/>
        <w:numPr>
          <w:ilvl w:val="0"/>
          <w:numId w:val="1"/>
        </w:numPr>
        <w:rPr>
          <w:rFonts w:asciiTheme="minorHAnsi" w:hAnsiTheme="minorHAnsi"/>
          <w:sz w:val="22"/>
          <w:szCs w:val="22"/>
        </w:rPr>
      </w:pPr>
      <w:r w:rsidRPr="00BC3DBE">
        <w:rPr>
          <w:rFonts w:asciiTheme="minorHAnsi" w:hAnsiTheme="minorHAnsi"/>
          <w:sz w:val="22"/>
          <w:szCs w:val="22"/>
        </w:rPr>
        <w:t>Vor dem Abbau des Versuches das Konvektionsrohr ausreichend abkühlen lassen.</w:t>
      </w:r>
    </w:p>
    <w:p w:rsidR="00BC3DBE" w:rsidRPr="00BC3DBE" w:rsidRDefault="00BC3DBE" w:rsidP="00BC3DBE">
      <w:pPr>
        <w:pStyle w:val="ABFlietext"/>
        <w:numPr>
          <w:ilvl w:val="0"/>
          <w:numId w:val="1"/>
        </w:numPr>
        <w:rPr>
          <w:rFonts w:asciiTheme="minorHAnsi" w:hAnsiTheme="minorHAnsi"/>
          <w:sz w:val="22"/>
          <w:szCs w:val="22"/>
        </w:rPr>
      </w:pPr>
      <w:r w:rsidRPr="00BC3DBE">
        <w:rPr>
          <w:rFonts w:asciiTheme="minorHAnsi" w:hAnsiTheme="minorHAnsi"/>
          <w:sz w:val="22"/>
          <w:szCs w:val="22"/>
        </w:rPr>
        <w:t>Unter „Wärmeleitgitter“ ist ein Drahtgitter aus Kupfer oder einem anderen guten Wärmeleiter gemeint. Das Gitter wird an der Ecke, die erhitzt werden soll, um das Konvektionsrohr herumgelegt, damit die Hitze der Kerze oder des Bunsenbrenners über eine größere Fläche verteilt wird und es so zu keinen übermäßigen Spannungen im Glas kommt.</w:t>
      </w:r>
    </w:p>
    <w:p w:rsidR="00F7335A" w:rsidRDefault="00F7335A" w:rsidP="00F7335A">
      <w:pPr>
        <w:spacing w:after="0" w:line="240" w:lineRule="auto"/>
      </w:pPr>
      <w:bookmarkStart w:id="0" w:name="_GoBack"/>
      <w:bookmarkEnd w:id="0"/>
    </w:p>
    <w:p w:rsidR="00F7335A" w:rsidRPr="00F7335A" w:rsidRDefault="00F7335A" w:rsidP="00F7335A">
      <w:pPr>
        <w:spacing w:after="0" w:line="240" w:lineRule="auto"/>
        <w:rPr>
          <w:b/>
        </w:rPr>
      </w:pPr>
      <w:r w:rsidRPr="00F7335A">
        <w:rPr>
          <w:b/>
        </w:rPr>
        <w:t>Ergebnis der Gefährdungsbeurteilung:</w:t>
      </w:r>
    </w:p>
    <w:p w:rsidR="006E0775" w:rsidRDefault="00F7335A" w:rsidP="006E0775">
      <w:pPr>
        <w:spacing w:after="0" w:line="240" w:lineRule="auto"/>
      </w:pPr>
      <w:r>
        <w:t xml:space="preserve">Das Experiment kann unter Berücksichtigung der </w:t>
      </w:r>
      <w:r w:rsidR="007A4D04">
        <w:t xml:space="preserve">obigen Gefährdungen und Schutzmaßnahmen, der </w:t>
      </w:r>
      <w:r>
        <w:t xml:space="preserve">eigenen Fachkenntnisse </w:t>
      </w:r>
      <w:r w:rsidR="007A4D04">
        <w:t>sowie päda</w:t>
      </w:r>
      <w:r w:rsidR="006E0775">
        <w:t>gogischer Gesichtspunkte (z. B. Klassensituation)</w:t>
      </w:r>
    </w:p>
    <w:p w:rsidR="006E0775" w:rsidRDefault="00BC3DBE" w:rsidP="006E0775">
      <w:pPr>
        <w:spacing w:after="0" w:line="240" w:lineRule="auto"/>
      </w:pPr>
      <w:sdt>
        <w:sdtPr>
          <w:id w:val="1334730916"/>
          <w14:checkbox>
            <w14:checked w14:val="1"/>
            <w14:checkedState w14:val="2612" w14:font="MS Gothic"/>
            <w14:uncheckedState w14:val="2610" w14:font="MS Gothic"/>
          </w14:checkbox>
        </w:sdtPr>
        <w:sdtEndPr/>
        <w:sdtContent>
          <w:r w:rsidR="00044BBB">
            <w:rPr>
              <w:rFonts w:ascii="MS Gothic" w:eastAsia="MS Gothic" w:hAnsi="MS Gothic" w:hint="eastAsia"/>
            </w:rPr>
            <w:t>☒</w:t>
          </w:r>
        </w:sdtContent>
      </w:sdt>
      <w:r w:rsidR="006E0775">
        <w:t xml:space="preserve"> durchgeführt werden.    </w:t>
      </w:r>
      <w:r w:rsidR="00F97927">
        <w:t xml:space="preserve">  </w:t>
      </w:r>
      <w:r w:rsidR="006E0775">
        <w:t xml:space="preserve">                                                                            </w:t>
      </w:r>
      <w:sdt>
        <w:sdtPr>
          <w:id w:val="498015072"/>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6E0775">
        <w:t xml:space="preserve"> nicht durchgeführt werden.</w:t>
      </w:r>
    </w:p>
    <w:p w:rsidR="00F7335A" w:rsidRDefault="00F7335A" w:rsidP="00F7335A">
      <w:pPr>
        <w:spacing w:after="0" w:line="240" w:lineRule="auto"/>
      </w:pPr>
    </w:p>
    <w:p w:rsidR="00F7335A" w:rsidRPr="00166290" w:rsidRDefault="00F7335A" w:rsidP="00F7335A">
      <w:pPr>
        <w:spacing w:after="0" w:line="240" w:lineRule="auto"/>
        <w:rPr>
          <w:b/>
        </w:rPr>
      </w:pPr>
      <w:r w:rsidRPr="00044DC4">
        <w:rPr>
          <w:b/>
        </w:rPr>
        <w:t>Wirksamkeit:</w:t>
      </w:r>
    </w:p>
    <w:p w:rsidR="00F7335A" w:rsidRDefault="00044BBB" w:rsidP="00F7335A">
      <w:pPr>
        <w:spacing w:after="0" w:line="240" w:lineRule="auto"/>
      </w:pPr>
      <w:r>
        <w:t>-</w:t>
      </w:r>
    </w:p>
    <w:sectPr w:rsidR="00F7335A" w:rsidSect="00D8025D">
      <w:headerReference w:type="default" r:id="rId8"/>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576" w:rsidRDefault="00346576" w:rsidP="00C00502">
      <w:pPr>
        <w:spacing w:after="0" w:line="240" w:lineRule="auto"/>
      </w:pPr>
      <w:r>
        <w:separator/>
      </w:r>
    </w:p>
  </w:endnote>
  <w:endnote w:type="continuationSeparator" w:id="0">
    <w:p w:rsidR="00346576" w:rsidRDefault="00346576"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576" w:rsidRDefault="00346576" w:rsidP="00C00502">
      <w:pPr>
        <w:spacing w:after="0" w:line="240" w:lineRule="auto"/>
      </w:pPr>
      <w:r>
        <w:separator/>
      </w:r>
    </w:p>
  </w:footnote>
  <w:footnote w:type="continuationSeparator" w:id="0">
    <w:p w:rsidR="00346576" w:rsidRDefault="00346576"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02" w:rsidRDefault="008F7253">
    <w:pPr>
      <w:pStyle w:val="Kopfzeile"/>
    </w:pPr>
    <w:r>
      <w:t>Sicher experimentieren in Physik</w:t>
    </w:r>
    <w:r>
      <w:ptab w:relativeTo="margin" w:alignment="right" w:leader="none"/>
    </w:r>
    <w:r>
      <w:t>Gefährdungsbeurteilung</w:t>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91DA1"/>
    <w:multiLevelType w:val="hybridMultilevel"/>
    <w:tmpl w:val="AAEA47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30768"/>
    <w:rsid w:val="000307DF"/>
    <w:rsid w:val="00044BBB"/>
    <w:rsid w:val="00044DC4"/>
    <w:rsid w:val="00085247"/>
    <w:rsid w:val="000A7D6C"/>
    <w:rsid w:val="000B4785"/>
    <w:rsid w:val="000B6B40"/>
    <w:rsid w:val="000F0165"/>
    <w:rsid w:val="00117E2D"/>
    <w:rsid w:val="001549DB"/>
    <w:rsid w:val="00163FCF"/>
    <w:rsid w:val="00166290"/>
    <w:rsid w:val="001B7141"/>
    <w:rsid w:val="001F7600"/>
    <w:rsid w:val="002865C7"/>
    <w:rsid w:val="002E0716"/>
    <w:rsid w:val="003208CC"/>
    <w:rsid w:val="00346576"/>
    <w:rsid w:val="003736F8"/>
    <w:rsid w:val="003D28C6"/>
    <w:rsid w:val="004067AA"/>
    <w:rsid w:val="00413392"/>
    <w:rsid w:val="00456368"/>
    <w:rsid w:val="00472E27"/>
    <w:rsid w:val="00496D36"/>
    <w:rsid w:val="004E0660"/>
    <w:rsid w:val="00520EE0"/>
    <w:rsid w:val="005773F9"/>
    <w:rsid w:val="005D182C"/>
    <w:rsid w:val="00617967"/>
    <w:rsid w:val="00624D7A"/>
    <w:rsid w:val="006442C3"/>
    <w:rsid w:val="0066409C"/>
    <w:rsid w:val="006B76F6"/>
    <w:rsid w:val="006E0775"/>
    <w:rsid w:val="006E07BD"/>
    <w:rsid w:val="006E20FE"/>
    <w:rsid w:val="00762CFF"/>
    <w:rsid w:val="007738C7"/>
    <w:rsid w:val="00787C78"/>
    <w:rsid w:val="007A09D5"/>
    <w:rsid w:val="007A2D0D"/>
    <w:rsid w:val="007A4D04"/>
    <w:rsid w:val="007D1D89"/>
    <w:rsid w:val="007E79F1"/>
    <w:rsid w:val="00805F94"/>
    <w:rsid w:val="00812FF0"/>
    <w:rsid w:val="008262FE"/>
    <w:rsid w:val="00833D6A"/>
    <w:rsid w:val="00843C1E"/>
    <w:rsid w:val="00896D23"/>
    <w:rsid w:val="008C7436"/>
    <w:rsid w:val="008F7253"/>
    <w:rsid w:val="008F7E88"/>
    <w:rsid w:val="009067E6"/>
    <w:rsid w:val="00927324"/>
    <w:rsid w:val="00937736"/>
    <w:rsid w:val="00970010"/>
    <w:rsid w:val="00A113E6"/>
    <w:rsid w:val="00A2556B"/>
    <w:rsid w:val="00A675A5"/>
    <w:rsid w:val="00A93ECC"/>
    <w:rsid w:val="00AB1571"/>
    <w:rsid w:val="00AC3FEB"/>
    <w:rsid w:val="00B41A45"/>
    <w:rsid w:val="00B775DD"/>
    <w:rsid w:val="00B84BE0"/>
    <w:rsid w:val="00BA32C0"/>
    <w:rsid w:val="00BB3F7A"/>
    <w:rsid w:val="00BC3DBE"/>
    <w:rsid w:val="00BC6D31"/>
    <w:rsid w:val="00C00502"/>
    <w:rsid w:val="00C0191A"/>
    <w:rsid w:val="00C163AF"/>
    <w:rsid w:val="00C31D67"/>
    <w:rsid w:val="00C7642E"/>
    <w:rsid w:val="00C76C9E"/>
    <w:rsid w:val="00C8478F"/>
    <w:rsid w:val="00CB3127"/>
    <w:rsid w:val="00CC73B5"/>
    <w:rsid w:val="00CC787F"/>
    <w:rsid w:val="00D143F0"/>
    <w:rsid w:val="00D53F75"/>
    <w:rsid w:val="00D8025D"/>
    <w:rsid w:val="00DC5838"/>
    <w:rsid w:val="00E75C10"/>
    <w:rsid w:val="00EF3602"/>
    <w:rsid w:val="00F23079"/>
    <w:rsid w:val="00F52653"/>
    <w:rsid w:val="00F707F5"/>
    <w:rsid w:val="00F7335A"/>
    <w:rsid w:val="00F97927"/>
    <w:rsid w:val="00FA299D"/>
    <w:rsid w:val="00FB2632"/>
    <w:rsid w:val="00FD3B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4067AA"/>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4067AA"/>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1832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Michael Haßfurther</cp:lastModifiedBy>
  <cp:revision>5</cp:revision>
  <dcterms:created xsi:type="dcterms:W3CDTF">2016-07-31T13:38:00Z</dcterms:created>
  <dcterms:modified xsi:type="dcterms:W3CDTF">2016-08-01T12:25:00Z</dcterms:modified>
</cp:coreProperties>
</file>