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4BC0" w14:textId="01038FEB" w:rsidR="00BB46AA" w:rsidRPr="00FB19E5" w:rsidRDefault="00FB19E5">
      <w:pPr>
        <w:rPr>
          <w:b/>
          <w:bCs/>
          <w:lang w:val="de-DE"/>
        </w:rPr>
      </w:pPr>
      <w:r w:rsidRPr="00FB19E5">
        <w:rPr>
          <w:b/>
          <w:bCs/>
          <w:lang w:val="de-DE"/>
        </w:rPr>
        <w:t>ESCO- Lernergebnismuster für Beruf/Bereich:</w:t>
      </w:r>
    </w:p>
    <w:p w14:paraId="45C7F568" w14:textId="77777777" w:rsidR="00FB19E5" w:rsidRPr="00FB19E5" w:rsidRDefault="00FB19E5">
      <w:pPr>
        <w:rPr>
          <w:lang w:val="de-DE"/>
        </w:rPr>
      </w:pPr>
    </w:p>
    <w:p w14:paraId="5FAE4E22" w14:textId="50FF186E" w:rsidR="00FB19E5" w:rsidRDefault="00FB19E5">
      <w:pPr>
        <w:rPr>
          <w:b/>
          <w:bCs/>
        </w:rPr>
      </w:pPr>
      <w:r w:rsidRPr="00FB19E5">
        <w:rPr>
          <w:b/>
          <w:bCs/>
        </w:rPr>
        <w:t>Fachoberschüler(in) – Bereich: Sozial</w:t>
      </w:r>
    </w:p>
    <w:p w14:paraId="3273C4C1" w14:textId="77777777" w:rsidR="00FB19E5" w:rsidRPr="00FB19E5" w:rsidRDefault="00FB19E5">
      <w:pPr>
        <w:rPr>
          <w:b/>
          <w:bCs/>
        </w:rPr>
      </w:pPr>
    </w:p>
    <w:tbl>
      <w:tblPr>
        <w:tblStyle w:val="Tabellen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BB46AA" w:rsidRPr="00235D7E" w14:paraId="23F60B50" w14:textId="77777777">
        <w:trPr>
          <w:trHeight w:val="283"/>
        </w:trPr>
        <w:tc>
          <w:tcPr>
            <w:tcW w:w="10209" w:type="dxa"/>
          </w:tcPr>
          <w:p w14:paraId="552FC06D" w14:textId="38180C8E" w:rsidR="00BB46AA" w:rsidRDefault="00FB19E5">
            <w:pPr>
              <w:pStyle w:val="subtitleblue"/>
              <w:spacing w:before="60"/>
              <w:rPr>
                <w:lang w:val="de-DE"/>
              </w:rPr>
            </w:pPr>
            <w:r>
              <w:rPr>
                <w:caps/>
                <w:lang w:val="de-DE"/>
              </w:rPr>
              <w:t>Europäische Klassifikation der Fähigkeiten, Kompetenzen und Berufe (ESCO)</w:t>
            </w:r>
          </w:p>
        </w:tc>
      </w:tr>
      <w:tr w:rsidR="00BB46AA" w:rsidRPr="00235D7E" w14:paraId="36951B24" w14:textId="77777777">
        <w:trPr>
          <w:trHeight w:val="283"/>
        </w:trPr>
        <w:tc>
          <w:tcPr>
            <w:tcW w:w="10209" w:type="dxa"/>
          </w:tcPr>
          <w:p w14:paraId="4DAC69A5" w14:textId="77777777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 xml:space="preserve">LERNERGEBNIS 1: </w:t>
            </w:r>
            <w:r w:rsidR="00A11819" w:rsidRPr="00A11819">
              <w:rPr>
                <w:lang w:val="de-DE"/>
              </w:rPr>
              <w:t>pedagogical competence (praxisorientierter Einsatz pädagogischer Kenntnisse)</w:t>
            </w:r>
          </w:p>
          <w:p w14:paraId="311CBD40" w14:textId="6B6F9DA1" w:rsidR="00A11819" w:rsidRPr="00A11819" w:rsidRDefault="00A11819">
            <w:pPr>
              <w:pStyle w:val="subtitleblue"/>
              <w:rPr>
                <w:lang w:val="de-DE"/>
              </w:rPr>
            </w:pPr>
          </w:p>
        </w:tc>
      </w:tr>
      <w:tr w:rsidR="00BB46AA" w:rsidRPr="00235D7E" w14:paraId="372BCE67" w14:textId="77777777">
        <w:trPr>
          <w:trHeight w:val="283"/>
        </w:trPr>
        <w:tc>
          <w:tcPr>
            <w:tcW w:w="10209" w:type="dxa"/>
          </w:tcPr>
          <w:p w14:paraId="0DD3605F" w14:textId="2A9CC90C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 xml:space="preserve">Der/die </w:t>
            </w:r>
            <w:r>
              <w:rPr>
                <w:lang w:val="de-DE"/>
              </w:rPr>
              <w:t>Stipendiat</w:t>
            </w:r>
            <w:r w:rsidRPr="00A11819">
              <w:rPr>
                <w:lang w:val="de-DE"/>
              </w:rPr>
              <w:t>(in) ist</w:t>
            </w:r>
            <w:r w:rsidR="00235D7E">
              <w:rPr>
                <w:lang w:val="de-DE"/>
              </w:rPr>
              <w:t xml:space="preserve"> eigenständig</w:t>
            </w:r>
            <w:r w:rsidRPr="00A11819">
              <w:rPr>
                <w:lang w:val="de-DE"/>
              </w:rPr>
              <w:t xml:space="preserve"> in der Lage:</w:t>
            </w:r>
          </w:p>
          <w:p w14:paraId="0124E10A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7ED9E128" w14:textId="5B163780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 xml:space="preserve">Beobachtungs-, Betreuungs- und Förderkompetenzen im Umgang mit Kindern </w:t>
            </w:r>
            <w:r>
              <w:rPr>
                <w:lang w:val="de-DE"/>
              </w:rPr>
              <w:t xml:space="preserve">verschiedener Altersgruppen </w:t>
            </w:r>
            <w:r w:rsidRPr="00A11819">
              <w:rPr>
                <w:lang w:val="de-DE"/>
              </w:rPr>
              <w:t>in interkulturellen Kontexten gezielt und situationsangemessen anzuwenden.</w:t>
            </w:r>
          </w:p>
          <w:p w14:paraId="079FBDA6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163B452D" w14:textId="060CF67E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Die eigene Rolle als pädagogische Fachkraft im Alltag kritisch zu reflektieren und Verantwortung in der Anleitung und Begleitung von Kinder</w:t>
            </w:r>
            <w:r>
              <w:rPr>
                <w:lang w:val="de-DE"/>
              </w:rPr>
              <w:t>- bzw. Jugend</w:t>
            </w:r>
            <w:r w:rsidRPr="00A11819">
              <w:rPr>
                <w:lang w:val="de-DE"/>
              </w:rPr>
              <w:t>gruppen zu übernehmen.</w:t>
            </w:r>
          </w:p>
          <w:p w14:paraId="7AD987D7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063D41AA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Didaktische Methoden aus der Ausbildung mit den im Praktikum erlebten Ansätzen zu vergleichen, Gemeinsamkeiten und Unterschiede zu erkennen und daraus Rückschlüsse für das eigene pädagogische Handeln zu ziehen.</w:t>
            </w:r>
          </w:p>
          <w:p w14:paraId="770CC24A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16ABA474" w14:textId="6473B11E" w:rsidR="00BB46AA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Die Bedeutung von Bewegung, gesunder Ernährung und sinnvoller Freizeitgestaltung für die kindliche Entwicklung zu erkennen, zu reflektieren und aktiv in die Praxis umzusetzen.</w:t>
            </w:r>
          </w:p>
          <w:p w14:paraId="113EF438" w14:textId="3F867F2D" w:rsidR="00A11819" w:rsidRDefault="00A11819" w:rsidP="00A11819">
            <w:pPr>
              <w:pStyle w:val="Maintext"/>
              <w:rPr>
                <w:lang w:val="de-DE"/>
              </w:rPr>
            </w:pPr>
          </w:p>
        </w:tc>
      </w:tr>
      <w:tr w:rsidR="00BB46AA" w:rsidRPr="00235D7E" w14:paraId="00B9A3A5" w14:textId="77777777">
        <w:trPr>
          <w:trHeight w:val="283"/>
        </w:trPr>
        <w:tc>
          <w:tcPr>
            <w:tcW w:w="10209" w:type="dxa"/>
          </w:tcPr>
          <w:p w14:paraId="2A722C37" w14:textId="77777777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 xml:space="preserve">LERNERGEBNIS 2: </w:t>
            </w:r>
            <w:r w:rsidR="00A11819" w:rsidRPr="00A11819">
              <w:rPr>
                <w:lang w:val="de-DE"/>
              </w:rPr>
              <w:t>organizational competence (organisatorische Fähigkeiten und Kompetenzen)</w:t>
            </w:r>
          </w:p>
          <w:p w14:paraId="269A18E4" w14:textId="04EDE43C" w:rsidR="00A11819" w:rsidRPr="00A11819" w:rsidRDefault="00A11819">
            <w:pPr>
              <w:pStyle w:val="subtitleblue"/>
              <w:rPr>
                <w:caps/>
                <w:highlight w:val="lightGray"/>
                <w:lang w:val="de-DE"/>
              </w:rPr>
            </w:pPr>
          </w:p>
        </w:tc>
      </w:tr>
      <w:tr w:rsidR="00BB46AA" w:rsidRPr="00235D7E" w14:paraId="42AAC6A8" w14:textId="77777777">
        <w:trPr>
          <w:trHeight w:val="283"/>
        </w:trPr>
        <w:tc>
          <w:tcPr>
            <w:tcW w:w="10209" w:type="dxa"/>
          </w:tcPr>
          <w:p w14:paraId="26B5B98D" w14:textId="16AF9B4B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Der/</w:t>
            </w:r>
            <w:proofErr w:type="gramStart"/>
            <w:r w:rsidRPr="00A11819">
              <w:rPr>
                <w:lang w:val="de-DE"/>
              </w:rPr>
              <w:t xml:space="preserve">die </w:t>
            </w:r>
            <w:r>
              <w:rPr>
                <w:lang w:val="de-DE"/>
              </w:rPr>
              <w:t>Stipendiat</w:t>
            </w:r>
            <w:proofErr w:type="gramEnd"/>
            <w:r w:rsidRPr="00A11819">
              <w:rPr>
                <w:lang w:val="de-DE"/>
              </w:rPr>
              <w:t>(in)</w:t>
            </w:r>
            <w:r w:rsidR="00235D7E">
              <w:rPr>
                <w:lang w:val="de-DE"/>
              </w:rPr>
              <w:t xml:space="preserve"> ist eigenständig</w:t>
            </w:r>
            <w:r w:rsidRPr="00A11819">
              <w:rPr>
                <w:lang w:val="de-DE"/>
              </w:rPr>
              <w:t xml:space="preserve"> ist in der Lage:</w:t>
            </w:r>
          </w:p>
          <w:p w14:paraId="249C2413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1520BC2E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Flexibel und lösungsorientiert auf unterschiedliche betriebliche Strukturen, Arbeitsweisen und kulturelle Gegebenheiten im Gastland zu reagieren.</w:t>
            </w:r>
          </w:p>
          <w:p w14:paraId="23DFEAEF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60448B78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Bei technischen oder organisatorischen Herausforderungen mit einfachen Mitteln kreativ zu improvisieren und praktikable Lösungen im pädagogischen Alltag zu entwickeln.</w:t>
            </w:r>
          </w:p>
          <w:p w14:paraId="40A760B9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4F7D67BF" w14:textId="77777777" w:rsidR="00BB46AA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Den persönlichen Bedarf für einen längeren Auslandsaufenthalt (z. B. Unterkunft, Mobilität, Materialien, Kommunikation) eigenständig zu planen und verantwortungsvoll umzusetzen.</w:t>
            </w:r>
          </w:p>
          <w:p w14:paraId="6CC7A8FC" w14:textId="703662C9" w:rsidR="00A11819" w:rsidRDefault="00A11819" w:rsidP="00A11819">
            <w:pPr>
              <w:pStyle w:val="Maintext"/>
              <w:rPr>
                <w:highlight w:val="lightGray"/>
                <w:lang w:val="de-DE"/>
              </w:rPr>
            </w:pPr>
          </w:p>
        </w:tc>
      </w:tr>
      <w:tr w:rsidR="00BB46AA" w:rsidRPr="00235D7E" w14:paraId="41A4B203" w14:textId="77777777">
        <w:trPr>
          <w:trHeight w:val="283"/>
        </w:trPr>
        <w:tc>
          <w:tcPr>
            <w:tcW w:w="10209" w:type="dxa"/>
          </w:tcPr>
          <w:p w14:paraId="032FAA2F" w14:textId="77777777" w:rsidR="00BB46AA" w:rsidRDefault="00FB19E5">
            <w:pPr>
              <w:pStyle w:val="subtitleblue"/>
              <w:rPr>
                <w:lang w:val="de-DE"/>
              </w:rPr>
            </w:pPr>
            <w:r>
              <w:rPr>
                <w:color w:val="858585" w:themeColor="background2" w:themeShade="BF"/>
                <w:lang w:val="de-DE"/>
              </w:rPr>
              <w:tab/>
            </w:r>
            <w:r>
              <w:rPr>
                <w:color w:val="858585" w:themeColor="background2" w:themeShade="BF"/>
                <w:lang w:val="de-DE"/>
              </w:rPr>
              <w:tab/>
            </w:r>
            <w:r w:rsidRPr="00A11819">
              <w:rPr>
                <w:lang w:val="de-DE"/>
              </w:rPr>
              <w:t xml:space="preserve">LERNERGEBNIS 3: </w:t>
            </w:r>
            <w:proofErr w:type="spellStart"/>
            <w:r w:rsidR="00A11819" w:rsidRPr="00A11819">
              <w:rPr>
                <w:lang w:val="de-DE"/>
              </w:rPr>
              <w:t>foreign</w:t>
            </w:r>
            <w:proofErr w:type="spellEnd"/>
            <w:r w:rsidR="00A11819" w:rsidRPr="00A11819">
              <w:rPr>
                <w:lang w:val="de-DE"/>
              </w:rPr>
              <w:t xml:space="preserve"> </w:t>
            </w:r>
            <w:proofErr w:type="spellStart"/>
            <w:r w:rsidR="00A11819" w:rsidRPr="00A11819">
              <w:rPr>
                <w:lang w:val="de-DE"/>
              </w:rPr>
              <w:t>language</w:t>
            </w:r>
            <w:proofErr w:type="spellEnd"/>
            <w:r w:rsidR="00A11819" w:rsidRPr="00A11819">
              <w:rPr>
                <w:lang w:val="de-DE"/>
              </w:rPr>
              <w:t xml:space="preserve"> and </w:t>
            </w:r>
            <w:proofErr w:type="spellStart"/>
            <w:r w:rsidR="00A11819" w:rsidRPr="00A11819">
              <w:rPr>
                <w:lang w:val="de-DE"/>
              </w:rPr>
              <w:t>culture</w:t>
            </w:r>
            <w:proofErr w:type="spellEnd"/>
            <w:r w:rsidR="00A11819" w:rsidRPr="00A11819">
              <w:rPr>
                <w:lang w:val="de-DE"/>
              </w:rPr>
              <w:t xml:space="preserve"> competence (</w:t>
            </w:r>
            <w:r w:rsidR="00A11819">
              <w:rPr>
                <w:lang w:val="de-DE"/>
              </w:rPr>
              <w:t>e</w:t>
            </w:r>
            <w:r w:rsidR="00A11819" w:rsidRPr="00A11819">
              <w:rPr>
                <w:lang w:val="de-DE"/>
              </w:rPr>
              <w:t>rworbene sprachliche und kulturelle Fähigkeiten und Kompetenzen)</w:t>
            </w:r>
          </w:p>
          <w:p w14:paraId="2C93EAD5" w14:textId="41870B25" w:rsidR="00A11819" w:rsidRPr="00A11819" w:rsidRDefault="00A11819">
            <w:pPr>
              <w:pStyle w:val="subtitleblue"/>
              <w:rPr>
                <w:highlight w:val="lightGray"/>
                <w:lang w:val="de-DE"/>
              </w:rPr>
            </w:pPr>
          </w:p>
        </w:tc>
      </w:tr>
      <w:tr w:rsidR="00BB46AA" w:rsidRPr="00235D7E" w14:paraId="5A3A40C9" w14:textId="77777777">
        <w:trPr>
          <w:trHeight w:val="283"/>
        </w:trPr>
        <w:tc>
          <w:tcPr>
            <w:tcW w:w="10209" w:type="dxa"/>
          </w:tcPr>
          <w:p w14:paraId="06CCD787" w14:textId="3AC4533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Der/</w:t>
            </w:r>
            <w:proofErr w:type="gramStart"/>
            <w:r w:rsidRPr="00A11819">
              <w:rPr>
                <w:lang w:val="de-DE"/>
              </w:rPr>
              <w:t xml:space="preserve">die </w:t>
            </w:r>
            <w:r>
              <w:rPr>
                <w:lang w:val="de-DE"/>
              </w:rPr>
              <w:t>Stipendiat</w:t>
            </w:r>
            <w:proofErr w:type="gramEnd"/>
            <w:r w:rsidRPr="00A11819">
              <w:rPr>
                <w:lang w:val="de-DE"/>
              </w:rPr>
              <w:t>(in) ist eigenständig in der Lage:</w:t>
            </w:r>
          </w:p>
          <w:p w14:paraId="7B750FA9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54E6BA62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Berufsspezifische Fachbegriffe mithilfe geeigneter Hilfsmittel (z. B. Fachwörterbücher, digitale Übersetzungstools) ins Deutsche zu übertragen und im pädagogischen Kontext korrekt anzuwenden.</w:t>
            </w:r>
          </w:p>
          <w:p w14:paraId="32892256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51F703D3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Arbeitsaufträge und pädagogische Aufgabenstellungen im Team unter Verwendung relevanter Fachsprache klar und zielgerichtet mit Kolleginnen und Kollegen abzustimmen.</w:t>
            </w:r>
          </w:p>
          <w:p w14:paraId="0C5A938A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09DADF77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  <w:r w:rsidRPr="00A11819">
              <w:rPr>
                <w:lang w:val="de-DE"/>
              </w:rPr>
              <w:t>Einfache, alltagsnahe Gespräche in der Landessprache der Partnereinrichtung zu führen, insbesondere im Rahmen der Betreuungssituationen und der Zusammenarbeit im Team.</w:t>
            </w:r>
          </w:p>
          <w:p w14:paraId="2CBB92E7" w14:textId="77777777" w:rsidR="00A11819" w:rsidRPr="00A11819" w:rsidRDefault="00A11819" w:rsidP="00A11819">
            <w:pPr>
              <w:pStyle w:val="Maintext"/>
              <w:rPr>
                <w:lang w:val="de-DE"/>
              </w:rPr>
            </w:pPr>
          </w:p>
          <w:p w14:paraId="664E059D" w14:textId="32FF6403" w:rsidR="00BB46AA" w:rsidRDefault="00A11819" w:rsidP="00A11819">
            <w:pPr>
              <w:pStyle w:val="Maintext"/>
              <w:rPr>
                <w:highlight w:val="lightGray"/>
                <w:lang w:val="de-DE"/>
              </w:rPr>
            </w:pPr>
            <w:r w:rsidRPr="00A11819">
              <w:rPr>
                <w:lang w:val="de-DE"/>
              </w:rPr>
              <w:t>Sich respektvoll und sensibel auf regionale Gepflogenheiten und kulturelle Besonderheiten im beruflichen Alltag sowie in der Freizeit einzustellen und das eigene Verhalten entsprechend anzupassen.</w:t>
            </w:r>
          </w:p>
        </w:tc>
      </w:tr>
    </w:tbl>
    <w:p w14:paraId="7A797FAB" w14:textId="56A07E27" w:rsidR="00BB46AA" w:rsidRDefault="00BB46AA">
      <w:pPr>
        <w:pStyle w:val="Notes"/>
        <w:ind w:right="706"/>
        <w:jc w:val="right"/>
        <w:rPr>
          <w:lang w:val="de-DE"/>
        </w:rPr>
      </w:pPr>
    </w:p>
    <w:sectPr w:rsidR="00BB46A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320F" w14:textId="77777777" w:rsidR="00BB46AA" w:rsidRDefault="00FB19E5">
      <w:r>
        <w:separator/>
      </w:r>
    </w:p>
  </w:endnote>
  <w:endnote w:type="continuationSeparator" w:id="0">
    <w:p w14:paraId="1E699DE0" w14:textId="77777777" w:rsidR="00BB46AA" w:rsidRDefault="00FB19E5">
      <w:r>
        <w:continuationSeparator/>
      </w:r>
    </w:p>
  </w:endnote>
  <w:endnote w:type="continuationNotice" w:id="1">
    <w:p w14:paraId="59506EAE" w14:textId="77777777" w:rsidR="00BB46AA" w:rsidRDefault="00BB46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3A5B0F14" w14:textId="77777777" w:rsidR="00BB46AA" w:rsidRDefault="00BB46AA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525E4044" w14:textId="77777777" w:rsidR="00BB46AA" w:rsidRDefault="00FB19E5"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szCs w:val="12"/>
            <w:lang w:val="de-DE"/>
          </w:rPr>
          <w:t xml:space="preserve">© Europäische Union, 2005-2023 | https://europa.eu/europass/ </w:t>
        </w:r>
      </w:p>
      <w:p w14:paraId="04D44DEB" w14:textId="77777777" w:rsidR="00BB46AA" w:rsidRDefault="00FB19E5">
        <w:pPr>
          <w:pStyle w:val="Footnotes"/>
          <w:pBdr>
            <w:top w:val="single" w:sz="8" w:space="1" w:color="B2B2B2"/>
          </w:pBdr>
          <w:rPr>
            <w:szCs w:val="12"/>
            <w:lang w:val="de-DE"/>
          </w:rPr>
        </w:pPr>
        <w:r>
          <w:rPr>
            <w:lang w:val="de-DE"/>
          </w:rPr>
          <w:t>© NA beim BIBB - Europass Lernvereinbarung und Lernergebniszertifikat ab 2024_27.03.2025</w:t>
        </w:r>
        <w:r>
          <w:rPr>
            <w:color w:val="1B72A5"/>
            <w:szCs w:val="12"/>
            <w:lang w:val="de-DE"/>
          </w:rPr>
          <w:tab/>
          <w:t xml:space="preserve">Seite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PAGE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1</w:t>
        </w:r>
        <w:r>
          <w:rPr>
            <w:b/>
            <w:color w:val="1B72A5"/>
            <w:szCs w:val="12"/>
            <w:lang w:val="en-GB"/>
          </w:rPr>
          <w:fldChar w:fldCharType="end"/>
        </w:r>
        <w:r>
          <w:rPr>
            <w:color w:val="1B72A5"/>
            <w:szCs w:val="12"/>
            <w:lang w:val="de-DE"/>
          </w:rPr>
          <w:t xml:space="preserve"> / </w:t>
        </w:r>
        <w:r>
          <w:rPr>
            <w:b/>
            <w:color w:val="1B72A5"/>
            <w:szCs w:val="12"/>
            <w:lang w:val="en-GB"/>
          </w:rPr>
          <w:fldChar w:fldCharType="begin"/>
        </w:r>
        <w:r>
          <w:rPr>
            <w:b/>
            <w:color w:val="1B72A5"/>
            <w:szCs w:val="12"/>
            <w:lang w:val="de-DE"/>
          </w:rPr>
          <w:instrText xml:space="preserve"> NUMPAGES  \* Arabic  \* MERGEFORMAT </w:instrText>
        </w:r>
        <w:r>
          <w:rPr>
            <w:b/>
            <w:color w:val="1B72A5"/>
            <w:szCs w:val="12"/>
            <w:lang w:val="en-GB"/>
          </w:rPr>
          <w:fldChar w:fldCharType="separate"/>
        </w:r>
        <w:r>
          <w:rPr>
            <w:b/>
            <w:color w:val="1B72A5"/>
            <w:szCs w:val="12"/>
            <w:lang w:val="de-DE"/>
          </w:rPr>
          <w:t>2</w:t>
        </w:r>
        <w:r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957F" w14:textId="77777777" w:rsidR="00BB46AA" w:rsidRDefault="00FB19E5">
    <w:pPr>
      <w:pStyle w:val="Footnotes"/>
      <w:rPr>
        <w:lang w:val="de-DE"/>
      </w:rPr>
    </w:pPr>
    <w:r>
      <w:rPr>
        <w:lang w:val="de-DE"/>
      </w:rPr>
      <w:t xml:space="preserve">Der Europass-Mobilitätsnachweis ist </w:t>
    </w:r>
    <w:r>
      <w:rPr>
        <w:rStyle w:val="FootnotesChar"/>
        <w:lang w:val="de-DE"/>
      </w:rPr>
      <w:t>ein europäisches Standarddokument, das die Ergebnisse eines Auslandsaufenthalts zu Lernzwecken dokumentiert</w:t>
    </w:r>
    <w:r>
      <w:rPr>
        <w:lang w:val="de-DE"/>
      </w:rPr>
      <w:t>.</w:t>
    </w:r>
  </w:p>
  <w:p w14:paraId="1E20127D" w14:textId="77777777" w:rsidR="00BB46AA" w:rsidRDefault="00FB19E5">
    <w:pPr>
      <w:pStyle w:val="Footnotes"/>
      <w:pBdr>
        <w:top w:val="single" w:sz="8" w:space="1" w:color="B2B2B2"/>
      </w:pBdr>
      <w:rPr>
        <w:lang w:val="de-DE"/>
      </w:rPr>
    </w:pPr>
    <w:r>
      <w:rPr>
        <w:lang w:val="de-DE"/>
      </w:rPr>
      <w:t xml:space="preserve">© Europäische Union, 2005-2023 | </w:t>
    </w:r>
    <w:hyperlink r:id="rId1" w:history="1">
      <w:r>
        <w:rPr>
          <w:rStyle w:val="Hyperlink"/>
          <w:lang w:val="de-DE"/>
        </w:rPr>
        <w:t>https://europa.eu/europass/</w:t>
      </w:r>
    </w:hyperlink>
  </w:p>
  <w:p w14:paraId="4F7207DF" w14:textId="77777777" w:rsidR="00BB46AA" w:rsidRDefault="00FB19E5">
    <w:pPr>
      <w:pStyle w:val="Footnotes"/>
      <w:pBdr>
        <w:top w:val="single" w:sz="8" w:space="1" w:color="B2B2B2"/>
      </w:pBdr>
      <w:rPr>
        <w:sz w:val="16"/>
        <w:szCs w:val="16"/>
        <w:lang w:val="de-DE"/>
      </w:rPr>
    </w:pPr>
    <w:r>
      <w:rPr>
        <w:lang w:val="de-DE"/>
      </w:rPr>
      <w:t>© NA beim BIBB - Europass Lernvereinbarung und Lernergebniszertifikat ab 2024_27.03.2025</w:t>
    </w:r>
    <w:r>
      <w:rPr>
        <w:lang w:val="de-DE"/>
      </w:rPr>
      <w:tab/>
      <w:t xml:space="preserve">Seite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PAGE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1</w:t>
    </w:r>
    <w:r>
      <w:rPr>
        <w:b/>
        <w:bCs/>
        <w:lang w:val="en-IE"/>
      </w:rPr>
      <w:fldChar w:fldCharType="end"/>
    </w:r>
    <w:r>
      <w:rPr>
        <w:lang w:val="de-DE"/>
      </w:rPr>
      <w:t xml:space="preserve"> / </w:t>
    </w:r>
    <w:r>
      <w:rPr>
        <w:b/>
        <w:bCs/>
        <w:lang w:val="en-IE"/>
      </w:rPr>
      <w:fldChar w:fldCharType="begin"/>
    </w:r>
    <w:r>
      <w:rPr>
        <w:b/>
        <w:bCs/>
        <w:lang w:val="de-DE"/>
      </w:rPr>
      <w:instrText xml:space="preserve"> NUMPAGES  \* Arabic  \* MERGEFORMAT </w:instrText>
    </w:r>
    <w:r>
      <w:rPr>
        <w:b/>
        <w:bCs/>
        <w:lang w:val="en-IE"/>
      </w:rPr>
      <w:fldChar w:fldCharType="separate"/>
    </w:r>
    <w:r>
      <w:rPr>
        <w:b/>
        <w:bCs/>
        <w:noProof/>
        <w:lang w:val="de-DE"/>
      </w:rPr>
      <w:t>2</w:t>
    </w:r>
    <w:r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F14E" w14:textId="77777777" w:rsidR="00BB46AA" w:rsidRDefault="00BB46AA">
      <w:pPr>
        <w:rPr>
          <w:color w:val="FFFFFF"/>
        </w:rPr>
      </w:pPr>
    </w:p>
  </w:footnote>
  <w:footnote w:type="continuationSeparator" w:id="0">
    <w:p w14:paraId="3A9FE902" w14:textId="77777777" w:rsidR="00BB46AA" w:rsidRDefault="00FB19E5">
      <w:r>
        <w:continuationSeparator/>
      </w:r>
    </w:p>
  </w:footnote>
  <w:footnote w:type="continuationNotice" w:id="1">
    <w:p w14:paraId="4E9C3CCE" w14:textId="77777777" w:rsidR="00BB46AA" w:rsidRDefault="00BB46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5196"/>
    </w:tblGrid>
    <w:tr w:rsidR="00BB46AA" w:rsidRPr="00235D7E" w14:paraId="1A7D9B3A" w14:textId="77777777">
      <w:tc>
        <w:tcPr>
          <w:tcW w:w="5296" w:type="dxa"/>
        </w:tcPr>
        <w:p w14:paraId="5543FE4C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48901896" wp14:editId="5B0C16D2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2C7F7C8E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</w:p>
        <w:p w14:paraId="31DA3059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de-DE"/>
            </w:rPr>
          </w:pPr>
          <w:r>
            <w:rPr>
              <w:color w:val="2C99DC"/>
              <w:sz w:val="22"/>
              <w:szCs w:val="22"/>
              <w:highlight w:val="lightGray"/>
              <w:lang w:val="de-DE"/>
            </w:rPr>
            <w:t>[Europass-Mobilitätsnummer] [Lernvereinbarung]</w:t>
          </w:r>
        </w:p>
      </w:tc>
    </w:tr>
    <w:bookmarkEnd w:id="0"/>
  </w:tbl>
  <w:p w14:paraId="5FB8D231" w14:textId="77777777" w:rsidR="00BB46AA" w:rsidRDefault="00BB46AA">
    <w:pPr>
      <w:pStyle w:val="Kopfzeile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BB46AA" w:rsidRPr="00235D7E" w14:paraId="44C8F2C8" w14:textId="77777777">
      <w:tc>
        <w:tcPr>
          <w:tcW w:w="3369" w:type="dxa"/>
        </w:tcPr>
        <w:p w14:paraId="12A15018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9D45871" wp14:editId="6251E54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518A6170" w14:textId="77777777" w:rsidR="00BB46AA" w:rsidRDefault="00FB19E5">
          <w:pPr>
            <w:pStyle w:val="Kopfzeil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de-DE"/>
            </w:rPr>
          </w:pPr>
          <w:r>
            <w:rPr>
              <w:color w:val="2C99DC"/>
              <w:sz w:val="36"/>
              <w:szCs w:val="36"/>
              <w:lang w:val="bg-BG"/>
            </w:rPr>
            <w:t xml:space="preserve">Europass </w:t>
          </w:r>
          <w:r>
            <w:rPr>
              <w:color w:val="2C99DC"/>
              <w:sz w:val="36"/>
              <w:szCs w:val="36"/>
              <w:lang w:val="de-DE"/>
            </w:rPr>
            <w:t xml:space="preserve">Mobilität </w:t>
          </w:r>
          <w:r>
            <w:rPr>
              <w:color w:val="2C99DC"/>
              <w:sz w:val="36"/>
              <w:szCs w:val="36"/>
              <w:lang w:val="de-DE"/>
            </w:rPr>
            <w:br/>
          </w:r>
          <w:r>
            <w:rPr>
              <w:color w:val="2C99DC"/>
              <w:sz w:val="22"/>
              <w:szCs w:val="22"/>
              <w:highlight w:val="lightGray"/>
              <w:lang w:val="de-DE"/>
            </w:rPr>
            <w:t>[Europass Mobilitätsnummer] [Lernvereinbarung]</w:t>
          </w:r>
        </w:p>
      </w:tc>
    </w:tr>
  </w:tbl>
  <w:p w14:paraId="6C16CE7A" w14:textId="77777777" w:rsidR="00BB46AA" w:rsidRDefault="00BB46AA">
    <w:pPr>
      <w:pStyle w:val="Kopfzeile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4CE708B1"/>
    <w:multiLevelType w:val="hybridMultilevel"/>
    <w:tmpl w:val="18A86D98"/>
    <w:lvl w:ilvl="0" w:tplc="C0DA1462">
      <w:start w:val="1"/>
      <w:numFmt w:val="bullet"/>
      <w:lvlText w:val="-"/>
      <w:lvlJc w:val="left"/>
      <w:pPr>
        <w:ind w:left="37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8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103724486">
    <w:abstractNumId w:val="10"/>
  </w:num>
  <w:num w:numId="2" w16cid:durableId="1410157575">
    <w:abstractNumId w:val="10"/>
  </w:num>
  <w:num w:numId="3" w16cid:durableId="11358772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0284">
    <w:abstractNumId w:val="1"/>
  </w:num>
  <w:num w:numId="5" w16cid:durableId="1208418642">
    <w:abstractNumId w:val="11"/>
  </w:num>
  <w:num w:numId="6" w16cid:durableId="1432897715">
    <w:abstractNumId w:val="12"/>
  </w:num>
  <w:num w:numId="7" w16cid:durableId="352650421">
    <w:abstractNumId w:val="3"/>
  </w:num>
  <w:num w:numId="8" w16cid:durableId="1281300781">
    <w:abstractNumId w:val="9"/>
  </w:num>
  <w:num w:numId="9" w16cid:durableId="1573269101">
    <w:abstractNumId w:val="4"/>
  </w:num>
  <w:num w:numId="10" w16cid:durableId="510803303">
    <w:abstractNumId w:val="0"/>
  </w:num>
  <w:num w:numId="11" w16cid:durableId="2121339993">
    <w:abstractNumId w:val="5"/>
  </w:num>
  <w:num w:numId="12" w16cid:durableId="2086219446">
    <w:abstractNumId w:val="2"/>
  </w:num>
  <w:num w:numId="13" w16cid:durableId="403722902">
    <w:abstractNumId w:val="7"/>
  </w:num>
  <w:num w:numId="14" w16cid:durableId="946278193">
    <w:abstractNumId w:val="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505796228"/>
  </wne:recipientData>
  <wne:recipientData>
    <wne:active wne:val="1"/>
    <wne:hash wne:val="68104204"/>
  </wne:recipientData>
  <wne:recipientData>
    <wne:active wne:val="1"/>
    <wne:hash wne:val="-111582504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Johannes\Downloads\Testserienbrief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viewMergedData/>
    <w:odso>
      <w:udl w:val="Provider=Microsoft.ACE.OLEDB.12.0;User ID=Admin;Data Source=C:\Users\Johannes\Downloads\Testserienbrief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0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B46AA"/>
    <w:rsid w:val="000276A8"/>
    <w:rsid w:val="00235D7E"/>
    <w:rsid w:val="00500E42"/>
    <w:rsid w:val="00A11819"/>
    <w:rsid w:val="00AE0607"/>
    <w:rsid w:val="00BB46AA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393AA0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le 1"/>
    <w:qFormat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berschrift2">
    <w:name w:val="heading 2"/>
    <w:basedOn w:val="Standard"/>
    <w:next w:val="Textkrper"/>
    <w:link w:val="berschrift2Zchn"/>
    <w:unhideWhenUsed/>
    <w:qFormat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berschrift3">
    <w:name w:val="heading 3"/>
    <w:basedOn w:val="Standard"/>
    <w:next w:val="Textkrper"/>
    <w:link w:val="berschrift3Zchn"/>
    <w:semiHidden/>
    <w:unhideWhenUsed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rd"/>
    <w:link w:val="subtitleblueChar"/>
    <w:qFormat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Absatz-Standardschriftart"/>
    <w:link w:val="subtitleblue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rd"/>
    <w:link w:val="NotesChar"/>
    <w:qFormat/>
    <w:rPr>
      <w:color w:val="2C99DC"/>
      <w:sz w:val="16"/>
      <w:szCs w:val="16"/>
    </w:rPr>
  </w:style>
  <w:style w:type="character" w:customStyle="1" w:styleId="MaintextChar">
    <w:name w:val="Main text Char"/>
    <w:basedOn w:val="Absatz-Standardschriftart"/>
    <w:link w:val="Maintext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Absatz-Standardschriftart"/>
    <w:link w:val="Notes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Pr>
      <w:rFonts w:ascii="Arial" w:hAnsi="Arial" w:cs="Arial"/>
      <w:color w:val="241F1E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color w:val="241F1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color w:val="241F1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color w:val="241F1E"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StyleStyleBodyTextAfter0ptVerdana">
    <w:name w:val="Style Style Body Text + After:  0 pt + Verdana"/>
    <w:basedOn w:val="Standard"/>
    <w:link w:val="StyleStyleBodyTextAfter0ptVerdanaChar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Absatz-Standardschriftart"/>
    <w:link w:val="StyleStyleBodyTextAfter0ptVerdana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color w:val="241F1E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annes\Downloads\Testserienbrief.xlsx" TargetMode="External"/><Relationship Id="rId1" Type="http://schemas.openxmlformats.org/officeDocument/2006/relationships/mailMergeSource" Target="file:///C:\Users\Johannes\Downloads\Testserienbrief.xlsx" TargetMode="External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4af8c89d-4332-4d32-84a3-abf4120a8008"/>
    <ds:schemaRef ds:uri="9a9637e9-1c11-4ee9-91b8-f060e3608fb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37FCCD-2A02-41E2-83CD-3AD5C2EC9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2601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>, docId:0B16526164E1BB95C29BD0CF69386B8C</cp:keywords>
  <cp:lastModifiedBy>Sigl Johannes</cp:lastModifiedBy>
  <cp:revision>3</cp:revision>
  <cp:lastPrinted>2025-03-26T11:58:00Z</cp:lastPrinted>
  <dcterms:created xsi:type="dcterms:W3CDTF">2025-06-30T19:56:00Z</dcterms:created>
  <dcterms:modified xsi:type="dcterms:W3CDTF">2025-06-30T20:07:00Z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