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AEA79" w14:textId="2D87DF32" w:rsidR="00732DF6" w:rsidRDefault="00732DF6" w:rsidP="009679DB">
      <w:pPr>
        <w:keepNext/>
        <w:keepLines/>
        <w:spacing w:after="233" w:line="266" w:lineRule="auto"/>
        <w:ind w:left="797" w:hanging="432"/>
        <w:outlineLvl w:val="0"/>
        <w:rPr>
          <w:rFonts w:ascii="Arial" w:eastAsia="Arial" w:hAnsi="Arial" w:cs="Arial"/>
          <w:b/>
          <w:color w:val="000000"/>
          <w:szCs w:val="22"/>
        </w:rPr>
      </w:pPr>
      <w:bookmarkStart w:id="0" w:name="_Toc150958640"/>
      <w:r>
        <w:rPr>
          <w:rFonts w:eastAsia="Times New Roman"/>
          <w:noProof/>
          <w:color w:val="000000"/>
          <w:bdr w:val="none" w:sz="0" w:space="0" w:color="auto" w:frame="1"/>
        </w:rPr>
        <w:drawing>
          <wp:inline distT="0" distB="0" distL="0" distR="0" wp14:anchorId="508A3AEF" wp14:editId="2CCE09B5">
            <wp:extent cx="1399540" cy="568325"/>
            <wp:effectExtent l="0" t="0" r="0" b="3175"/>
            <wp:docPr id="2" name="Grafik 2" descr="Finanzierung &amp; Stipendien - TH Georg Agric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nanzierung &amp; Stipendien - TH Georg Agricol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99540" cy="568325"/>
                    </a:xfrm>
                    <a:prstGeom prst="rect">
                      <a:avLst/>
                    </a:prstGeom>
                    <a:noFill/>
                    <a:ln>
                      <a:noFill/>
                    </a:ln>
                  </pic:spPr>
                </pic:pic>
              </a:graphicData>
            </a:graphic>
          </wp:inline>
        </w:drawing>
      </w:r>
      <w:r>
        <w:rPr>
          <w:rFonts w:eastAsia="Times New Roman"/>
          <w:noProof/>
          <w:color w:val="000000"/>
          <w:bdr w:val="none" w:sz="0" w:space="0" w:color="auto" w:frame="1"/>
        </w:rPr>
        <w:drawing>
          <wp:inline distT="0" distB="0" distL="0" distR="0" wp14:anchorId="44ABB475" wp14:editId="6F83C29E">
            <wp:extent cx="2105660" cy="443230"/>
            <wp:effectExtent l="0" t="0" r="2540" b="1270"/>
            <wp:docPr id="1" name="Grafik 1" descr="Downloadcenter – Nationale Agentur für Erasmus+ Hochschulkooperationen –  DA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wnloadcenter – Nationale Agentur für Erasmus+ Hochschulkooperationen –  DAA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05660" cy="443230"/>
                    </a:xfrm>
                    <a:prstGeom prst="rect">
                      <a:avLst/>
                    </a:prstGeom>
                    <a:noFill/>
                    <a:ln>
                      <a:noFill/>
                    </a:ln>
                  </pic:spPr>
                </pic:pic>
              </a:graphicData>
            </a:graphic>
          </wp:inline>
        </w:drawing>
      </w:r>
      <w:r>
        <w:rPr>
          <w:rStyle w:val="apple-tab-span"/>
          <w:rFonts w:eastAsia="Times New Roman"/>
          <w:color w:val="000000"/>
        </w:rPr>
        <w:tab/>
      </w:r>
    </w:p>
    <w:p w14:paraId="02467C9F" w14:textId="77777777" w:rsidR="00CC1EA3" w:rsidRDefault="00CC1EA3" w:rsidP="009679DB">
      <w:pPr>
        <w:keepNext/>
        <w:keepLines/>
        <w:spacing w:after="233" w:line="266" w:lineRule="auto"/>
        <w:ind w:left="797" w:hanging="432"/>
        <w:outlineLvl w:val="0"/>
        <w:rPr>
          <w:rFonts w:ascii="Arial" w:eastAsia="Arial" w:hAnsi="Arial" w:cs="Arial"/>
          <w:b/>
          <w:color w:val="000000"/>
          <w:szCs w:val="22"/>
        </w:rPr>
      </w:pPr>
    </w:p>
    <w:p w14:paraId="1782F253" w14:textId="145DD73D" w:rsidR="009679DB" w:rsidRPr="009679DB" w:rsidRDefault="00833D0B" w:rsidP="009679DB">
      <w:pPr>
        <w:keepNext/>
        <w:keepLines/>
        <w:spacing w:after="233" w:line="266" w:lineRule="auto"/>
        <w:ind w:left="797" w:hanging="432"/>
        <w:outlineLvl w:val="0"/>
        <w:rPr>
          <w:rFonts w:ascii="Arial" w:eastAsia="Arial" w:hAnsi="Arial" w:cs="Arial"/>
          <w:b/>
          <w:color w:val="000000"/>
          <w:szCs w:val="22"/>
        </w:rPr>
      </w:pPr>
      <w:r>
        <w:rPr>
          <w:rFonts w:ascii="Arial" w:eastAsia="Arial" w:hAnsi="Arial" w:cs="Arial"/>
          <w:b/>
          <w:color w:val="000000"/>
          <w:szCs w:val="22"/>
        </w:rPr>
        <w:t>Tipps</w:t>
      </w:r>
      <w:r w:rsidR="009679DB" w:rsidRPr="009679DB">
        <w:rPr>
          <w:rFonts w:ascii="Arial" w:eastAsia="Arial" w:hAnsi="Arial" w:cs="Arial"/>
          <w:b/>
          <w:color w:val="000000"/>
          <w:szCs w:val="22"/>
        </w:rPr>
        <w:t xml:space="preserve"> für Gastfamilien</w:t>
      </w:r>
      <w:bookmarkEnd w:id="0"/>
      <w:r w:rsidR="009679DB" w:rsidRPr="009679DB">
        <w:rPr>
          <w:rFonts w:ascii="Arial" w:eastAsia="Arial" w:hAnsi="Arial" w:cs="Arial"/>
          <w:b/>
          <w:color w:val="000000"/>
          <w:szCs w:val="22"/>
        </w:rPr>
        <w:t xml:space="preserve"> </w:t>
      </w:r>
    </w:p>
    <w:p w14:paraId="15970C5B" w14:textId="77777777" w:rsidR="009679DB" w:rsidRPr="009679DB" w:rsidRDefault="009679DB" w:rsidP="009679DB">
      <w:pPr>
        <w:spacing w:after="211" w:line="266" w:lineRule="auto"/>
        <w:ind w:left="375" w:hanging="10"/>
        <w:rPr>
          <w:rFonts w:ascii="Arial" w:eastAsia="Arial" w:hAnsi="Arial" w:cs="Arial"/>
          <w:color w:val="1C1C1C"/>
          <w:sz w:val="22"/>
          <w:szCs w:val="22"/>
        </w:rPr>
      </w:pPr>
      <w:r w:rsidRPr="009679DB">
        <w:rPr>
          <w:rFonts w:ascii="Arial" w:eastAsia="Arial" w:hAnsi="Arial" w:cs="Arial"/>
          <w:b/>
          <w:color w:val="1C1C1C"/>
          <w:sz w:val="22"/>
          <w:szCs w:val="22"/>
        </w:rPr>
        <w:t xml:space="preserve">Vor der Ankunft der Schülerin/des Schülers </w:t>
      </w:r>
    </w:p>
    <w:p w14:paraId="5EC1CD5B" w14:textId="77777777" w:rsidR="009679DB" w:rsidRPr="009679DB" w:rsidRDefault="009679DB" w:rsidP="009679DB">
      <w:pPr>
        <w:numPr>
          <w:ilvl w:val="0"/>
          <w:numId w:val="1"/>
        </w:numPr>
        <w:spacing w:after="209" w:line="268" w:lineRule="auto"/>
        <w:ind w:hanging="520"/>
        <w:jc w:val="both"/>
        <w:rPr>
          <w:rFonts w:ascii="Arial" w:eastAsia="Arial" w:hAnsi="Arial" w:cs="Arial"/>
          <w:color w:val="1C1C1C"/>
          <w:sz w:val="22"/>
          <w:szCs w:val="22"/>
        </w:rPr>
      </w:pPr>
      <w:r w:rsidRPr="009679DB">
        <w:rPr>
          <w:rFonts w:ascii="Arial" w:eastAsia="Arial" w:hAnsi="Arial" w:cs="Arial"/>
          <w:color w:val="1C1C1C"/>
          <w:sz w:val="22"/>
          <w:szCs w:val="22"/>
        </w:rPr>
        <w:t xml:space="preserve">Die Mentorin/der Mentor wird Ihre Familie besuchen, um Ihnen zu erläutern, wie Ihre Rolle als Gastfamilie aussieht, und Ihnen weitere Informationen über SchülerLangzeitmobilitäten im Rahmen von Erasmus+ Schulpartnerschaften zu geben.  </w:t>
      </w:r>
    </w:p>
    <w:p w14:paraId="4BF01524" w14:textId="77777777" w:rsidR="009679DB" w:rsidRPr="009679DB" w:rsidRDefault="009679DB" w:rsidP="009679DB">
      <w:pPr>
        <w:numPr>
          <w:ilvl w:val="0"/>
          <w:numId w:val="1"/>
        </w:numPr>
        <w:spacing w:after="209" w:line="268" w:lineRule="auto"/>
        <w:ind w:hanging="520"/>
        <w:jc w:val="both"/>
        <w:rPr>
          <w:rFonts w:ascii="Arial" w:eastAsia="Arial" w:hAnsi="Arial" w:cs="Arial"/>
          <w:color w:val="1C1C1C"/>
          <w:sz w:val="22"/>
          <w:szCs w:val="22"/>
        </w:rPr>
      </w:pPr>
      <w:r w:rsidRPr="009679DB">
        <w:rPr>
          <w:rFonts w:ascii="Arial" w:eastAsia="Arial" w:hAnsi="Arial" w:cs="Arial"/>
          <w:color w:val="1C1C1C"/>
          <w:sz w:val="22"/>
          <w:szCs w:val="22"/>
        </w:rPr>
        <w:t xml:space="preserve">Als Gastfamilie spielen Sie eine wichtige Rolle für einen erfolgreichen Auslandsaufenthalt der Schülerin/des Schülers. Stellen Sie sicher, dass alle Familienmitglieder die (in der </w:t>
      </w:r>
      <w:proofErr w:type="spellStart"/>
      <w:r w:rsidRPr="009679DB">
        <w:rPr>
          <w:rFonts w:ascii="Arial" w:eastAsia="Arial" w:hAnsi="Arial" w:cs="Arial"/>
          <w:color w:val="1C1C1C"/>
          <w:sz w:val="22"/>
          <w:szCs w:val="22"/>
        </w:rPr>
        <w:t>Gastfamiliencharta</w:t>
      </w:r>
      <w:proofErr w:type="spellEnd"/>
      <w:r w:rsidRPr="009679DB">
        <w:rPr>
          <w:rFonts w:ascii="Arial" w:eastAsia="Arial" w:hAnsi="Arial" w:cs="Arial"/>
          <w:color w:val="1C1C1C"/>
          <w:sz w:val="22"/>
          <w:szCs w:val="22"/>
        </w:rPr>
        <w:t xml:space="preserve"> festgelegten) Rechte und Pflichten einer Gastfamilie kennen. </w:t>
      </w:r>
    </w:p>
    <w:p w14:paraId="5467F44C" w14:textId="77777777" w:rsidR="009679DB" w:rsidRPr="009679DB" w:rsidRDefault="009679DB" w:rsidP="009679DB">
      <w:pPr>
        <w:numPr>
          <w:ilvl w:val="0"/>
          <w:numId w:val="1"/>
        </w:numPr>
        <w:spacing w:after="209" w:line="268" w:lineRule="auto"/>
        <w:ind w:hanging="520"/>
        <w:jc w:val="both"/>
        <w:rPr>
          <w:rFonts w:ascii="Arial" w:eastAsia="Arial" w:hAnsi="Arial" w:cs="Arial"/>
          <w:color w:val="1C1C1C"/>
          <w:sz w:val="22"/>
          <w:szCs w:val="22"/>
        </w:rPr>
      </w:pPr>
      <w:r w:rsidRPr="009679DB">
        <w:rPr>
          <w:rFonts w:ascii="Arial" w:eastAsia="Arial" w:hAnsi="Arial" w:cs="Arial"/>
          <w:color w:val="1C1C1C"/>
          <w:sz w:val="22"/>
          <w:szCs w:val="22"/>
        </w:rPr>
        <w:t xml:space="preserve">Stellen Sie sicher, dass die Schülerin/der Schüler über eine Rückzugsmöglichkeit verfügt. </w:t>
      </w:r>
    </w:p>
    <w:p w14:paraId="3313E8DE" w14:textId="77777777" w:rsidR="009679DB" w:rsidRPr="009679DB" w:rsidRDefault="009679DB" w:rsidP="009679DB">
      <w:pPr>
        <w:numPr>
          <w:ilvl w:val="0"/>
          <w:numId w:val="1"/>
        </w:numPr>
        <w:spacing w:after="209" w:line="268" w:lineRule="auto"/>
        <w:ind w:hanging="520"/>
        <w:jc w:val="both"/>
        <w:rPr>
          <w:rFonts w:ascii="Arial" w:eastAsia="Arial" w:hAnsi="Arial" w:cs="Arial"/>
          <w:color w:val="1C1C1C"/>
          <w:sz w:val="22"/>
          <w:szCs w:val="22"/>
        </w:rPr>
      </w:pPr>
      <w:r w:rsidRPr="009679DB">
        <w:rPr>
          <w:rFonts w:ascii="Arial" w:eastAsia="Arial" w:hAnsi="Arial" w:cs="Arial"/>
          <w:color w:val="1C1C1C"/>
          <w:sz w:val="22"/>
          <w:szCs w:val="22"/>
        </w:rPr>
        <w:t xml:space="preserve">Nehmen Sie vor der Ankunft der Schülerin/des Schülers Kontakt zu der Schülerin/dem Schüler auf und heißen Sie sie/ihn in ihrer Familie herzlich willkommen. Vielleicht möchten Sie ihr/ihm auch einige Informationen über Ihre Familie und Ihr Umfeld schicken. </w:t>
      </w:r>
    </w:p>
    <w:p w14:paraId="1DD95DA6" w14:textId="77777777" w:rsidR="009679DB" w:rsidRPr="009679DB" w:rsidRDefault="009679DB" w:rsidP="009679DB">
      <w:pPr>
        <w:numPr>
          <w:ilvl w:val="0"/>
          <w:numId w:val="1"/>
        </w:numPr>
        <w:spacing w:after="209" w:line="268" w:lineRule="auto"/>
        <w:ind w:hanging="520"/>
        <w:jc w:val="both"/>
        <w:rPr>
          <w:rFonts w:ascii="Arial" w:eastAsia="Arial" w:hAnsi="Arial" w:cs="Arial"/>
          <w:color w:val="1C1C1C"/>
          <w:sz w:val="22"/>
          <w:szCs w:val="22"/>
        </w:rPr>
      </w:pPr>
      <w:r w:rsidRPr="009679DB">
        <w:rPr>
          <w:rFonts w:ascii="Arial" w:eastAsia="Arial" w:hAnsi="Arial" w:cs="Arial"/>
          <w:color w:val="1C1C1C"/>
          <w:sz w:val="22"/>
          <w:szCs w:val="22"/>
        </w:rPr>
        <w:t xml:space="preserve">Wenn Sie planen, während des Aufenthalts der Schülerin/des Schülers mit Ihrer Familie zu verreisen, treffen Sie alle erforderlichen Vorkehrungen, um die Schülerin/den Schüler mitnehmen zu können. Sollte die Reise mit hohen Kosten verbunden sein, besprechen Sie mit den Eltern der Schülerin/des Schülers, wie diese Kosten gedeckt werden sollen. Sie dürfen die Schülerin/den Schüler nicht an Orte mitnehmen, die nicht von der für den Auslandsaufenthalt abgeschlossenen Versicherung abgedeckt sind, außer, Sie schließen eine spezielle Versicherung für die Reise ab, der die Eltern/Erziehungsberechtigten der Schülerin/des Schülers zustimmen müssen. Denken Sie auch daran, eine Kopie der Einverständniserklärung der Eltern/Erziehungsberechtigten mitzunehmen und stellen Sie auch sicher, dass die Schülerin/der Schüler für medizinische Notfälle das Gesundheitsformular (Teil 2) mitnimmt. </w:t>
      </w:r>
    </w:p>
    <w:p w14:paraId="36EA6A58" w14:textId="77777777" w:rsidR="009679DB" w:rsidRPr="009679DB" w:rsidRDefault="009679DB" w:rsidP="009679DB">
      <w:pPr>
        <w:spacing w:after="211" w:line="266" w:lineRule="auto"/>
        <w:ind w:left="375" w:hanging="10"/>
        <w:rPr>
          <w:rFonts w:ascii="Arial" w:eastAsia="Arial" w:hAnsi="Arial" w:cs="Arial"/>
          <w:color w:val="1C1C1C"/>
          <w:sz w:val="22"/>
          <w:szCs w:val="22"/>
        </w:rPr>
      </w:pPr>
      <w:r w:rsidRPr="009679DB">
        <w:rPr>
          <w:rFonts w:ascii="Arial" w:eastAsia="Arial" w:hAnsi="Arial" w:cs="Arial"/>
          <w:b/>
          <w:color w:val="1C1C1C"/>
          <w:sz w:val="22"/>
          <w:szCs w:val="22"/>
        </w:rPr>
        <w:t xml:space="preserve">Während des Aufenthalts der Schülerin/des Schülers in Ihrer Familie </w:t>
      </w:r>
    </w:p>
    <w:p w14:paraId="59FE7EEB" w14:textId="77777777" w:rsidR="009679DB" w:rsidRPr="009679DB" w:rsidRDefault="009679DB" w:rsidP="009679DB">
      <w:pPr>
        <w:numPr>
          <w:ilvl w:val="0"/>
          <w:numId w:val="1"/>
        </w:numPr>
        <w:spacing w:after="209" w:line="268" w:lineRule="auto"/>
        <w:ind w:hanging="520"/>
        <w:jc w:val="both"/>
        <w:rPr>
          <w:rFonts w:ascii="Arial" w:eastAsia="Arial" w:hAnsi="Arial" w:cs="Arial"/>
          <w:color w:val="1C1C1C"/>
          <w:sz w:val="22"/>
          <w:szCs w:val="22"/>
        </w:rPr>
      </w:pPr>
      <w:r w:rsidRPr="009679DB">
        <w:rPr>
          <w:rFonts w:ascii="Arial" w:eastAsia="Arial" w:hAnsi="Arial" w:cs="Arial"/>
          <w:color w:val="1C1C1C"/>
          <w:sz w:val="22"/>
          <w:szCs w:val="22"/>
        </w:rPr>
        <w:t xml:space="preserve">Von Ihnen als Gasteltern wird erwartet, dass Sie während des Aufenthalts der Schülerin/des Schülers in Ihrer Familie die elterliche Aufsicht führen. Behandeln Sie die Schülerin/den Schüler so, wie Sie möchten, dass Ihr eigenes Kind in einer Gastfamilie behandelt werden soll. </w:t>
      </w:r>
    </w:p>
    <w:p w14:paraId="1357EC1E" w14:textId="77777777" w:rsidR="009679DB" w:rsidRPr="009679DB" w:rsidRDefault="009679DB" w:rsidP="009679DB">
      <w:pPr>
        <w:numPr>
          <w:ilvl w:val="0"/>
          <w:numId w:val="1"/>
        </w:numPr>
        <w:spacing w:after="209" w:line="268" w:lineRule="auto"/>
        <w:ind w:hanging="520"/>
        <w:jc w:val="both"/>
        <w:rPr>
          <w:rFonts w:ascii="Arial" w:eastAsia="Arial" w:hAnsi="Arial" w:cs="Arial"/>
          <w:color w:val="1C1C1C"/>
          <w:sz w:val="22"/>
          <w:szCs w:val="22"/>
        </w:rPr>
      </w:pPr>
      <w:r w:rsidRPr="009679DB">
        <w:rPr>
          <w:rFonts w:ascii="Arial" w:eastAsia="Arial" w:hAnsi="Arial" w:cs="Arial"/>
          <w:color w:val="1C1C1C"/>
          <w:sz w:val="22"/>
          <w:szCs w:val="22"/>
        </w:rPr>
        <w:t xml:space="preserve">Die Schüler/-innen, die an dem Programm teilnehmen, sind eventuell offener und erwachsener als viele andere Teenager. Dennoch sind sie junge Menschen, die in einem fremden Land wohnen und versuchen, eine fremde Sprache zu erlernen. Versuchen Sie, der Schülerin/dem Schüler die Umstellung auf Ihre Kultur und Sprache zu erleichtern. </w:t>
      </w:r>
    </w:p>
    <w:p w14:paraId="2F0A0035" w14:textId="77777777" w:rsidR="009679DB" w:rsidRPr="009679DB" w:rsidRDefault="009679DB" w:rsidP="009679DB">
      <w:pPr>
        <w:numPr>
          <w:ilvl w:val="0"/>
          <w:numId w:val="1"/>
        </w:numPr>
        <w:spacing w:after="209" w:line="268" w:lineRule="auto"/>
        <w:ind w:hanging="520"/>
        <w:jc w:val="both"/>
        <w:rPr>
          <w:rFonts w:ascii="Arial" w:eastAsia="Arial" w:hAnsi="Arial" w:cs="Arial"/>
          <w:color w:val="1C1C1C"/>
          <w:sz w:val="22"/>
          <w:szCs w:val="22"/>
        </w:rPr>
      </w:pPr>
      <w:r w:rsidRPr="009679DB">
        <w:rPr>
          <w:rFonts w:ascii="Arial" w:eastAsia="Arial" w:hAnsi="Arial" w:cs="Arial"/>
          <w:color w:val="1C1C1C"/>
          <w:sz w:val="22"/>
          <w:szCs w:val="22"/>
        </w:rPr>
        <w:t xml:space="preserve">Vereinbaren Sie klare Regeln, an die sich die Schülerin/der Schüler in Ihrem Haus halten muss, um Missverständnisse zu vermeiden. Diese Regeln können zum Beispiel folgende Bereiche betreffen: </w:t>
      </w:r>
    </w:p>
    <w:p w14:paraId="2DB6CBC5" w14:textId="77777777" w:rsidR="009679DB" w:rsidRPr="009679DB" w:rsidRDefault="009679DB" w:rsidP="009679DB">
      <w:pPr>
        <w:numPr>
          <w:ilvl w:val="0"/>
          <w:numId w:val="1"/>
        </w:numPr>
        <w:spacing w:after="209" w:line="268" w:lineRule="auto"/>
        <w:ind w:hanging="520"/>
        <w:jc w:val="both"/>
        <w:rPr>
          <w:rFonts w:ascii="Arial" w:eastAsia="Arial" w:hAnsi="Arial" w:cs="Arial"/>
          <w:color w:val="1C1C1C"/>
          <w:sz w:val="22"/>
          <w:szCs w:val="22"/>
        </w:rPr>
      </w:pPr>
      <w:r w:rsidRPr="009679DB">
        <w:rPr>
          <w:rFonts w:ascii="Arial" w:eastAsia="Arial" w:hAnsi="Arial" w:cs="Arial"/>
          <w:color w:val="1C1C1C"/>
          <w:sz w:val="22"/>
          <w:szCs w:val="22"/>
        </w:rPr>
        <w:t xml:space="preserve">Abläufe in der Familie, zum Beispiel Essens- und Schlafenszeiten </w:t>
      </w:r>
    </w:p>
    <w:p w14:paraId="58B4083A" w14:textId="77777777" w:rsidR="009679DB" w:rsidRPr="009679DB" w:rsidRDefault="009679DB" w:rsidP="009679DB">
      <w:pPr>
        <w:numPr>
          <w:ilvl w:val="0"/>
          <w:numId w:val="1"/>
        </w:numPr>
        <w:spacing w:after="209" w:line="268" w:lineRule="auto"/>
        <w:ind w:hanging="520"/>
        <w:jc w:val="both"/>
        <w:rPr>
          <w:rFonts w:ascii="Arial" w:eastAsia="Arial" w:hAnsi="Arial" w:cs="Arial"/>
          <w:color w:val="1C1C1C"/>
          <w:sz w:val="22"/>
          <w:szCs w:val="22"/>
        </w:rPr>
      </w:pPr>
      <w:r w:rsidRPr="009679DB">
        <w:rPr>
          <w:rFonts w:ascii="Arial" w:eastAsia="Arial" w:hAnsi="Arial" w:cs="Arial"/>
          <w:color w:val="1C1C1C"/>
          <w:sz w:val="22"/>
          <w:szCs w:val="22"/>
        </w:rPr>
        <w:t xml:space="preserve">Haushaltspflichten der Schülerin/des Schülers, z. B. Aufräumen des Zimmers, Hilfe beim Kochen usw. </w:t>
      </w:r>
    </w:p>
    <w:p w14:paraId="0DAC73BD" w14:textId="77777777" w:rsidR="009679DB" w:rsidRPr="009679DB" w:rsidRDefault="009679DB" w:rsidP="009679DB">
      <w:pPr>
        <w:numPr>
          <w:ilvl w:val="0"/>
          <w:numId w:val="1"/>
        </w:numPr>
        <w:spacing w:after="209" w:line="268" w:lineRule="auto"/>
        <w:ind w:hanging="520"/>
        <w:jc w:val="both"/>
        <w:rPr>
          <w:rFonts w:ascii="Arial" w:eastAsia="Arial" w:hAnsi="Arial" w:cs="Arial"/>
          <w:color w:val="1C1C1C"/>
          <w:sz w:val="22"/>
          <w:szCs w:val="22"/>
        </w:rPr>
      </w:pPr>
      <w:r w:rsidRPr="009679DB">
        <w:rPr>
          <w:rFonts w:ascii="Arial" w:eastAsia="Arial" w:hAnsi="Arial" w:cs="Arial"/>
          <w:color w:val="1C1C1C"/>
          <w:sz w:val="22"/>
          <w:szCs w:val="22"/>
        </w:rPr>
        <w:t xml:space="preserve">Andere praktische Fragen, zum Beispiel das Mittagessen in der Schule, Fahrten zur Schule usw. </w:t>
      </w:r>
    </w:p>
    <w:p w14:paraId="2BE0C4E5" w14:textId="77777777" w:rsidR="009679DB" w:rsidRPr="009679DB" w:rsidRDefault="009679DB" w:rsidP="009679DB">
      <w:pPr>
        <w:numPr>
          <w:ilvl w:val="0"/>
          <w:numId w:val="1"/>
        </w:numPr>
        <w:spacing w:after="209" w:line="268" w:lineRule="auto"/>
        <w:ind w:hanging="520"/>
        <w:jc w:val="both"/>
        <w:rPr>
          <w:rFonts w:ascii="Arial" w:eastAsia="Arial" w:hAnsi="Arial" w:cs="Arial"/>
          <w:color w:val="1C1C1C"/>
          <w:sz w:val="22"/>
          <w:szCs w:val="22"/>
        </w:rPr>
      </w:pPr>
      <w:r w:rsidRPr="009679DB">
        <w:rPr>
          <w:rFonts w:ascii="Arial" w:eastAsia="Arial" w:hAnsi="Arial" w:cs="Arial"/>
          <w:color w:val="1C1C1C"/>
          <w:sz w:val="22"/>
          <w:szCs w:val="22"/>
        </w:rPr>
        <w:t xml:space="preserve">Zeit, zu der die Schülerin/der Schüler spätestens zuhause sein muss. </w:t>
      </w:r>
    </w:p>
    <w:p w14:paraId="68EE579C" w14:textId="77777777" w:rsidR="009679DB" w:rsidRPr="009679DB" w:rsidRDefault="009679DB" w:rsidP="009679DB">
      <w:pPr>
        <w:numPr>
          <w:ilvl w:val="0"/>
          <w:numId w:val="1"/>
        </w:numPr>
        <w:spacing w:after="209" w:line="268" w:lineRule="auto"/>
        <w:ind w:hanging="520"/>
        <w:jc w:val="both"/>
        <w:rPr>
          <w:rFonts w:ascii="Arial" w:eastAsia="Arial" w:hAnsi="Arial" w:cs="Arial"/>
          <w:color w:val="1C1C1C"/>
          <w:sz w:val="22"/>
          <w:szCs w:val="22"/>
        </w:rPr>
      </w:pPr>
      <w:r w:rsidRPr="009679DB">
        <w:rPr>
          <w:rFonts w:ascii="Arial" w:eastAsia="Arial" w:hAnsi="Arial" w:cs="Arial"/>
          <w:color w:val="1C1C1C"/>
          <w:sz w:val="22"/>
          <w:szCs w:val="22"/>
        </w:rPr>
        <w:lastRenderedPageBreak/>
        <w:t xml:space="preserve">Benutzung von Telefon und Computer. </w:t>
      </w:r>
    </w:p>
    <w:p w14:paraId="1AA3F462" w14:textId="77777777" w:rsidR="009679DB" w:rsidRPr="009679DB" w:rsidRDefault="009679DB" w:rsidP="009679DB">
      <w:pPr>
        <w:numPr>
          <w:ilvl w:val="0"/>
          <w:numId w:val="1"/>
        </w:numPr>
        <w:spacing w:after="209" w:line="268" w:lineRule="auto"/>
        <w:ind w:hanging="520"/>
        <w:jc w:val="both"/>
        <w:rPr>
          <w:rFonts w:ascii="Arial" w:eastAsia="Arial" w:hAnsi="Arial" w:cs="Arial"/>
          <w:color w:val="1C1C1C"/>
          <w:sz w:val="22"/>
          <w:szCs w:val="22"/>
        </w:rPr>
      </w:pPr>
      <w:r w:rsidRPr="009679DB">
        <w:rPr>
          <w:rFonts w:ascii="Arial" w:eastAsia="Arial" w:hAnsi="Arial" w:cs="Arial"/>
          <w:color w:val="1C1C1C"/>
          <w:sz w:val="22"/>
          <w:szCs w:val="22"/>
        </w:rPr>
        <w:t xml:space="preserve">Ermutigen Sie die Schülerin/den Schüler zur Teilnahme an schulischen Aktivitäten und Veranstaltungen der örtlichen Gemeinschaft. </w:t>
      </w:r>
    </w:p>
    <w:p w14:paraId="58967E84" w14:textId="1500A268" w:rsidR="009679DB" w:rsidRPr="009679DB" w:rsidRDefault="009679DB" w:rsidP="009679DB">
      <w:pPr>
        <w:numPr>
          <w:ilvl w:val="0"/>
          <w:numId w:val="1"/>
        </w:numPr>
        <w:spacing w:after="209" w:line="268" w:lineRule="auto"/>
        <w:ind w:hanging="520"/>
        <w:jc w:val="both"/>
        <w:rPr>
          <w:rFonts w:ascii="Arial" w:eastAsia="Arial" w:hAnsi="Arial" w:cs="Arial"/>
          <w:color w:val="1C1C1C"/>
          <w:sz w:val="22"/>
          <w:szCs w:val="22"/>
        </w:rPr>
      </w:pPr>
      <w:r w:rsidRPr="009679DB">
        <w:rPr>
          <w:rFonts w:ascii="Arial" w:eastAsia="Arial" w:hAnsi="Arial" w:cs="Arial"/>
          <w:color w:val="1C1C1C"/>
          <w:sz w:val="22"/>
          <w:szCs w:val="22"/>
        </w:rPr>
        <w:t xml:space="preserve">Denken Sie daran, dass Sie sich jederzeit an die Mentorin/dem Mentor der Schülerin/des Schülers wenden können, wenn Sie Rat brauchen oder Fragen klären möchten. </w:t>
      </w:r>
    </w:p>
    <w:sectPr w:rsidR="009679DB" w:rsidRPr="009679DB" w:rsidSect="00CC1EA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decorative"/>
    <w:pitch w:val="variable"/>
    <w:sig w:usb0="00000000" w:usb1="10000000" w:usb2="00000000" w:usb3="00000000" w:csb0="80000000" w:csb1="00000000"/>
  </w:font>
  <w:font w:name="Aptos">
    <w:altName w:val="Calibri"/>
    <w:panose1 w:val="020B0004020202020204"/>
    <w:charset w:val="00"/>
    <w:family w:val="roman"/>
    <w:pitch w:val="default"/>
  </w:font>
  <w:font w:name="Times New Roman">
    <w:panose1 w:val="02020603050405020304"/>
    <w:charset w:val="00"/>
    <w:family w:val="roman"/>
    <w:pitch w:val="variable"/>
    <w:sig w:usb0="00000003" w:usb1="00000000" w:usb2="00000000" w:usb3="00000000" w:csb0="00000001" w:csb1="00000000"/>
  </w:font>
  <w:font w:name="Aptos Display">
    <w:panose1 w:val="020B00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2169"/>
    <w:multiLevelType w:val="hybridMultilevel"/>
    <w:tmpl w:val="02FAB074"/>
    <w:lvl w:ilvl="0" w:tplc="CEAACF8E">
      <w:start w:val="1"/>
      <w:numFmt w:val="bullet"/>
      <w:lvlText w:val=""/>
      <w:lvlJc w:val="left"/>
      <w:pPr>
        <w:ind w:left="1163" w:firstLine="0"/>
      </w:pPr>
      <w:rPr>
        <w:rFonts w:ascii="Wingdings 3" w:eastAsia="Wingdings 3" w:hAnsi="Wingdings 3" w:cs="Wingdings 3"/>
        <w:b w:val="0"/>
        <w:i w:val="0"/>
        <w:strike w:val="0"/>
        <w:dstrike w:val="0"/>
        <w:color w:val="76B82A"/>
        <w:sz w:val="22"/>
        <w:szCs w:val="22"/>
        <w:u w:val="none" w:color="000000"/>
        <w:effect w:val="none"/>
        <w:bdr w:val="none" w:sz="0" w:space="0" w:color="auto" w:frame="1"/>
        <w:vertAlign w:val="baseline"/>
      </w:rPr>
    </w:lvl>
    <w:lvl w:ilvl="1" w:tplc="23FE16B4">
      <w:start w:val="1"/>
      <w:numFmt w:val="bullet"/>
      <w:lvlText w:val="o"/>
      <w:lvlJc w:val="left"/>
      <w:pPr>
        <w:ind w:left="1414" w:firstLine="0"/>
      </w:pPr>
      <w:rPr>
        <w:rFonts w:ascii="Wingdings 3" w:eastAsia="Wingdings 3" w:hAnsi="Wingdings 3" w:cs="Wingdings 3"/>
        <w:b w:val="0"/>
        <w:i w:val="0"/>
        <w:strike w:val="0"/>
        <w:dstrike w:val="0"/>
        <w:color w:val="76B82A"/>
        <w:sz w:val="22"/>
        <w:szCs w:val="22"/>
        <w:u w:val="none" w:color="000000"/>
        <w:effect w:val="none"/>
        <w:bdr w:val="none" w:sz="0" w:space="0" w:color="auto" w:frame="1"/>
        <w:vertAlign w:val="baseline"/>
      </w:rPr>
    </w:lvl>
    <w:lvl w:ilvl="2" w:tplc="6D06F8EC">
      <w:start w:val="1"/>
      <w:numFmt w:val="bullet"/>
      <w:lvlText w:val="▪"/>
      <w:lvlJc w:val="left"/>
      <w:pPr>
        <w:ind w:left="2134" w:firstLine="0"/>
      </w:pPr>
      <w:rPr>
        <w:rFonts w:ascii="Wingdings 3" w:eastAsia="Wingdings 3" w:hAnsi="Wingdings 3" w:cs="Wingdings 3"/>
        <w:b w:val="0"/>
        <w:i w:val="0"/>
        <w:strike w:val="0"/>
        <w:dstrike w:val="0"/>
        <w:color w:val="76B82A"/>
        <w:sz w:val="22"/>
        <w:szCs w:val="22"/>
        <w:u w:val="none" w:color="000000"/>
        <w:effect w:val="none"/>
        <w:bdr w:val="none" w:sz="0" w:space="0" w:color="auto" w:frame="1"/>
        <w:vertAlign w:val="baseline"/>
      </w:rPr>
    </w:lvl>
    <w:lvl w:ilvl="3" w:tplc="35B6078A">
      <w:start w:val="1"/>
      <w:numFmt w:val="bullet"/>
      <w:lvlText w:val="•"/>
      <w:lvlJc w:val="left"/>
      <w:pPr>
        <w:ind w:left="2854" w:firstLine="0"/>
      </w:pPr>
      <w:rPr>
        <w:rFonts w:ascii="Wingdings 3" w:eastAsia="Wingdings 3" w:hAnsi="Wingdings 3" w:cs="Wingdings 3"/>
        <w:b w:val="0"/>
        <w:i w:val="0"/>
        <w:strike w:val="0"/>
        <w:dstrike w:val="0"/>
        <w:color w:val="76B82A"/>
        <w:sz w:val="22"/>
        <w:szCs w:val="22"/>
        <w:u w:val="none" w:color="000000"/>
        <w:effect w:val="none"/>
        <w:bdr w:val="none" w:sz="0" w:space="0" w:color="auto" w:frame="1"/>
        <w:vertAlign w:val="baseline"/>
      </w:rPr>
    </w:lvl>
    <w:lvl w:ilvl="4" w:tplc="AE965D0E">
      <w:start w:val="1"/>
      <w:numFmt w:val="bullet"/>
      <w:lvlText w:val="o"/>
      <w:lvlJc w:val="left"/>
      <w:pPr>
        <w:ind w:left="3574" w:firstLine="0"/>
      </w:pPr>
      <w:rPr>
        <w:rFonts w:ascii="Wingdings 3" w:eastAsia="Wingdings 3" w:hAnsi="Wingdings 3" w:cs="Wingdings 3"/>
        <w:b w:val="0"/>
        <w:i w:val="0"/>
        <w:strike w:val="0"/>
        <w:dstrike w:val="0"/>
        <w:color w:val="76B82A"/>
        <w:sz w:val="22"/>
        <w:szCs w:val="22"/>
        <w:u w:val="none" w:color="000000"/>
        <w:effect w:val="none"/>
        <w:bdr w:val="none" w:sz="0" w:space="0" w:color="auto" w:frame="1"/>
        <w:vertAlign w:val="baseline"/>
      </w:rPr>
    </w:lvl>
    <w:lvl w:ilvl="5" w:tplc="7650490C">
      <w:start w:val="1"/>
      <w:numFmt w:val="bullet"/>
      <w:lvlText w:val="▪"/>
      <w:lvlJc w:val="left"/>
      <w:pPr>
        <w:ind w:left="4294" w:firstLine="0"/>
      </w:pPr>
      <w:rPr>
        <w:rFonts w:ascii="Wingdings 3" w:eastAsia="Wingdings 3" w:hAnsi="Wingdings 3" w:cs="Wingdings 3"/>
        <w:b w:val="0"/>
        <w:i w:val="0"/>
        <w:strike w:val="0"/>
        <w:dstrike w:val="0"/>
        <w:color w:val="76B82A"/>
        <w:sz w:val="22"/>
        <w:szCs w:val="22"/>
        <w:u w:val="none" w:color="000000"/>
        <w:effect w:val="none"/>
        <w:bdr w:val="none" w:sz="0" w:space="0" w:color="auto" w:frame="1"/>
        <w:vertAlign w:val="baseline"/>
      </w:rPr>
    </w:lvl>
    <w:lvl w:ilvl="6" w:tplc="BC5248E0">
      <w:start w:val="1"/>
      <w:numFmt w:val="bullet"/>
      <w:lvlText w:val="•"/>
      <w:lvlJc w:val="left"/>
      <w:pPr>
        <w:ind w:left="5014" w:firstLine="0"/>
      </w:pPr>
      <w:rPr>
        <w:rFonts w:ascii="Wingdings 3" w:eastAsia="Wingdings 3" w:hAnsi="Wingdings 3" w:cs="Wingdings 3"/>
        <w:b w:val="0"/>
        <w:i w:val="0"/>
        <w:strike w:val="0"/>
        <w:dstrike w:val="0"/>
        <w:color w:val="76B82A"/>
        <w:sz w:val="22"/>
        <w:szCs w:val="22"/>
        <w:u w:val="none" w:color="000000"/>
        <w:effect w:val="none"/>
        <w:bdr w:val="none" w:sz="0" w:space="0" w:color="auto" w:frame="1"/>
        <w:vertAlign w:val="baseline"/>
      </w:rPr>
    </w:lvl>
    <w:lvl w:ilvl="7" w:tplc="1CE495FE">
      <w:start w:val="1"/>
      <w:numFmt w:val="bullet"/>
      <w:lvlText w:val="o"/>
      <w:lvlJc w:val="left"/>
      <w:pPr>
        <w:ind w:left="5734" w:firstLine="0"/>
      </w:pPr>
      <w:rPr>
        <w:rFonts w:ascii="Wingdings 3" w:eastAsia="Wingdings 3" w:hAnsi="Wingdings 3" w:cs="Wingdings 3"/>
        <w:b w:val="0"/>
        <w:i w:val="0"/>
        <w:strike w:val="0"/>
        <w:dstrike w:val="0"/>
        <w:color w:val="76B82A"/>
        <w:sz w:val="22"/>
        <w:szCs w:val="22"/>
        <w:u w:val="none" w:color="000000"/>
        <w:effect w:val="none"/>
        <w:bdr w:val="none" w:sz="0" w:space="0" w:color="auto" w:frame="1"/>
        <w:vertAlign w:val="baseline"/>
      </w:rPr>
    </w:lvl>
    <w:lvl w:ilvl="8" w:tplc="A686D534">
      <w:start w:val="1"/>
      <w:numFmt w:val="bullet"/>
      <w:lvlText w:val="▪"/>
      <w:lvlJc w:val="left"/>
      <w:pPr>
        <w:ind w:left="6454" w:firstLine="0"/>
      </w:pPr>
      <w:rPr>
        <w:rFonts w:ascii="Wingdings 3" w:eastAsia="Wingdings 3" w:hAnsi="Wingdings 3" w:cs="Wingdings 3"/>
        <w:b w:val="0"/>
        <w:i w:val="0"/>
        <w:strike w:val="0"/>
        <w:dstrike w:val="0"/>
        <w:color w:val="76B82A"/>
        <w:sz w:val="22"/>
        <w:szCs w:val="22"/>
        <w:u w:val="none" w:color="000000"/>
        <w:effect w:val="none"/>
        <w:bdr w:val="none" w:sz="0" w:space="0" w:color="auto" w:frame="1"/>
        <w:vertAlign w:val="baseline"/>
      </w:rPr>
    </w:lvl>
  </w:abstractNum>
  <w:num w:numId="1" w16cid:durableId="42653875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9DB"/>
    <w:rsid w:val="00732DF6"/>
    <w:rsid w:val="00833D0B"/>
    <w:rsid w:val="009679DB"/>
    <w:rsid w:val="00CC1EA3"/>
    <w:rsid w:val="00CF77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71D9E97"/>
  <w15:chartTrackingRefBased/>
  <w15:docId w15:val="{AB45892E-61EA-594F-A0EE-B50A012F3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679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679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679DB"/>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679DB"/>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679DB"/>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679D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679D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679D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679D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679DB"/>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679DB"/>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679DB"/>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679DB"/>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679DB"/>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679D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679D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679D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679DB"/>
    <w:rPr>
      <w:rFonts w:eastAsiaTheme="majorEastAsia" w:cstheme="majorBidi"/>
      <w:color w:val="272727" w:themeColor="text1" w:themeTint="D8"/>
    </w:rPr>
  </w:style>
  <w:style w:type="paragraph" w:styleId="Titel">
    <w:name w:val="Title"/>
    <w:basedOn w:val="Standard"/>
    <w:next w:val="Standard"/>
    <w:link w:val="TitelZchn"/>
    <w:uiPriority w:val="10"/>
    <w:qFormat/>
    <w:rsid w:val="009679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679D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679DB"/>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679D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679DB"/>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679DB"/>
    <w:rPr>
      <w:i/>
      <w:iCs/>
      <w:color w:val="404040" w:themeColor="text1" w:themeTint="BF"/>
    </w:rPr>
  </w:style>
  <w:style w:type="paragraph" w:styleId="Listenabsatz">
    <w:name w:val="List Paragraph"/>
    <w:basedOn w:val="Standard"/>
    <w:uiPriority w:val="34"/>
    <w:qFormat/>
    <w:rsid w:val="009679DB"/>
    <w:pPr>
      <w:ind w:left="720"/>
      <w:contextualSpacing/>
    </w:pPr>
  </w:style>
  <w:style w:type="character" w:styleId="IntensiveHervorhebung">
    <w:name w:val="Intense Emphasis"/>
    <w:basedOn w:val="Absatz-Standardschriftart"/>
    <w:uiPriority w:val="21"/>
    <w:qFormat/>
    <w:rsid w:val="009679DB"/>
    <w:rPr>
      <w:i/>
      <w:iCs/>
      <w:color w:val="0F4761" w:themeColor="accent1" w:themeShade="BF"/>
    </w:rPr>
  </w:style>
  <w:style w:type="paragraph" w:styleId="IntensivesZitat">
    <w:name w:val="Intense Quote"/>
    <w:basedOn w:val="Standard"/>
    <w:next w:val="Standard"/>
    <w:link w:val="IntensivesZitatZchn"/>
    <w:uiPriority w:val="30"/>
    <w:qFormat/>
    <w:rsid w:val="009679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679DB"/>
    <w:rPr>
      <w:i/>
      <w:iCs/>
      <w:color w:val="0F4761" w:themeColor="accent1" w:themeShade="BF"/>
    </w:rPr>
  </w:style>
  <w:style w:type="character" w:styleId="IntensiverVerweis">
    <w:name w:val="Intense Reference"/>
    <w:basedOn w:val="Absatz-Standardschriftart"/>
    <w:uiPriority w:val="32"/>
    <w:qFormat/>
    <w:rsid w:val="009679DB"/>
    <w:rPr>
      <w:b/>
      <w:bCs/>
      <w:smallCaps/>
      <w:color w:val="0F4761" w:themeColor="accent1" w:themeShade="BF"/>
      <w:spacing w:val="5"/>
    </w:rPr>
  </w:style>
  <w:style w:type="character" w:customStyle="1" w:styleId="apple-tab-span">
    <w:name w:val="apple-tab-span"/>
    <w:basedOn w:val="Absatz-Standardschriftart"/>
    <w:rsid w:val="00732D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2878</Characters>
  <Application>Microsoft Office Word</Application>
  <DocSecurity>0</DocSecurity>
  <Lines>23</Lines>
  <Paragraphs>6</Paragraphs>
  <ScaleCrop>false</ScaleCrop>
  <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Hornung</dc:creator>
  <cp:keywords/>
  <dc:description/>
  <cp:lastModifiedBy>Alexander Hornung</cp:lastModifiedBy>
  <cp:revision>2</cp:revision>
  <dcterms:created xsi:type="dcterms:W3CDTF">2024-02-27T09:49:00Z</dcterms:created>
  <dcterms:modified xsi:type="dcterms:W3CDTF">2024-02-27T09:49:00Z</dcterms:modified>
</cp:coreProperties>
</file>